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临夏州百合产业精准扶贫</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三年行动</w:t>
      </w:r>
      <w:r>
        <w:rPr>
          <w:rFonts w:hint="eastAsia" w:ascii="方正小标宋简体" w:hAnsi="方正小标宋简体" w:eastAsia="方正小标宋简体" w:cs="方正小标宋简体"/>
          <w:sz w:val="36"/>
          <w:szCs w:val="36"/>
          <w:lang w:eastAsia="zh-CN"/>
        </w:rPr>
        <w:t>实施</w:t>
      </w:r>
      <w:r>
        <w:rPr>
          <w:rFonts w:hint="eastAsia" w:ascii="方正小标宋简体" w:hAnsi="方正小标宋简体" w:eastAsia="方正小标宋简体" w:cs="方正小标宋简体"/>
          <w:sz w:val="36"/>
          <w:szCs w:val="36"/>
        </w:rPr>
        <w:t>方案</w:t>
      </w:r>
    </w:p>
    <w:p>
      <w:pPr>
        <w:pStyle w:val="13"/>
        <w:widowControl w:val="0"/>
        <w:spacing w:before="0" w:beforeAutospacing="0" w:after="0" w:afterAutospacing="0" w:line="600" w:lineRule="exact"/>
        <w:contextualSpacing/>
        <w:jc w:val="both"/>
        <w:rPr>
          <w:rFonts w:ascii="仿宋_GB2312" w:hAnsi="宋体" w:eastAsia="仿宋_GB2312"/>
          <w:b/>
          <w:color w:val="000000"/>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百合栽培在我州永靖县有着得天独厚的自然气候条件，是具特色的区域性优势产业之一，百合产业已成为产区促农增收的重要支柱产业。为加快推进百合产业发展，形成合理的优势区域，全面提升产业整体水平和市场竞争力，</w:t>
      </w:r>
      <w:r>
        <w:rPr>
          <w:rFonts w:hint="eastAsia" w:ascii="Times New Roman" w:hAnsi="Times New Roman" w:eastAsia="仿宋_GB2312"/>
          <w:sz w:val="32"/>
          <w:szCs w:val="32"/>
        </w:rPr>
        <w:t>助推打赢脱贫攻坚战，</w:t>
      </w:r>
      <w:r>
        <w:rPr>
          <w:rFonts w:hint="eastAsia" w:ascii="仿宋_GB2312" w:eastAsia="仿宋_GB2312"/>
          <w:sz w:val="32"/>
          <w:szCs w:val="32"/>
        </w:rPr>
        <w:t>实现农业增效和农民收入持续增长，特制定如下</w:t>
      </w:r>
      <w:r>
        <w:rPr>
          <w:rFonts w:hint="eastAsia" w:ascii="仿宋_GB2312" w:eastAsia="仿宋_GB2312"/>
          <w:sz w:val="32"/>
          <w:szCs w:val="32"/>
          <w:lang w:eastAsia="zh-CN"/>
        </w:rPr>
        <w:t>实施</w:t>
      </w:r>
      <w:r>
        <w:rPr>
          <w:rFonts w:hint="eastAsia" w:ascii="仿宋_GB2312" w:eastAsia="仿宋_GB2312"/>
          <w:sz w:val="32"/>
          <w:szCs w:val="32"/>
        </w:rPr>
        <w:t>方案。</w:t>
      </w:r>
    </w:p>
    <w:p>
      <w:pPr>
        <w:numPr>
          <w:ilvl w:val="0"/>
          <w:numId w:val="1"/>
        </w:numPr>
        <w:spacing w:line="600" w:lineRule="exact"/>
        <w:ind w:right="25" w:rightChars="12" w:firstLine="640" w:firstLineChars="200"/>
        <w:rPr>
          <w:rFonts w:ascii="黑体" w:hAnsi="黑体" w:eastAsia="黑体" w:cs="黑体"/>
          <w:sz w:val="32"/>
          <w:szCs w:val="32"/>
        </w:rPr>
      </w:pPr>
      <w:r>
        <w:rPr>
          <w:rFonts w:hint="eastAsia" w:ascii="黑体" w:hAnsi="黑体" w:eastAsia="黑体" w:cs="黑体"/>
          <w:sz w:val="32"/>
          <w:szCs w:val="32"/>
        </w:rPr>
        <w:t>现状与问题</w:t>
      </w:r>
    </w:p>
    <w:p>
      <w:pPr>
        <w:spacing w:line="600" w:lineRule="exact"/>
        <w:ind w:right="25" w:rightChars="12"/>
        <w:rPr>
          <w:rFonts w:ascii="黑体" w:hAnsi="黑体" w:eastAsia="黑体" w:cs="黑体"/>
          <w:sz w:val="32"/>
          <w:szCs w:val="32"/>
        </w:rPr>
      </w:pPr>
      <w:r>
        <w:rPr>
          <w:rFonts w:ascii="黑体" w:hAnsi="黑体" w:eastAsia="黑体" w:cs="黑体"/>
          <w:sz w:val="32"/>
          <w:szCs w:val="32"/>
        </w:rPr>
        <w:t xml:space="preserve">   </w:t>
      </w:r>
      <w:r>
        <w:rPr>
          <w:rFonts w:hint="eastAsia" w:ascii="楷体_GB2312" w:hAnsi="楷体_GB2312" w:eastAsia="楷体_GB2312" w:cs="楷体_GB2312"/>
          <w:bCs/>
          <w:sz w:val="32"/>
          <w:szCs w:val="32"/>
        </w:rPr>
        <w:t>（一）发展现状</w:t>
      </w:r>
      <w:bookmarkStart w:id="0" w:name="_GoBack"/>
      <w:bookmarkEnd w:id="0"/>
    </w:p>
    <w:p>
      <w:pPr>
        <w:spacing w:line="600" w:lineRule="exact"/>
        <w:ind w:firstLine="640" w:firstLineChars="200"/>
        <w:rPr>
          <w:rFonts w:ascii="仿宋_GB2312" w:eastAsia="仿宋_GB2312"/>
          <w:sz w:val="32"/>
          <w:szCs w:val="32"/>
        </w:rPr>
      </w:pPr>
      <w:r>
        <w:rPr>
          <w:rFonts w:hint="eastAsia" w:ascii="仿宋_GB2312" w:eastAsia="仿宋_GB2312"/>
          <w:sz w:val="32"/>
          <w:szCs w:val="32"/>
        </w:rPr>
        <w:t>我州的百合主要分布在永靖县关山、徐顶、陈井</w:t>
      </w:r>
      <w:r>
        <w:rPr>
          <w:rFonts w:ascii="仿宋_GB2312" w:eastAsia="仿宋_GB2312"/>
          <w:sz w:val="32"/>
          <w:szCs w:val="32"/>
        </w:rPr>
        <w:t>3</w:t>
      </w:r>
      <w:r>
        <w:rPr>
          <w:rFonts w:hint="eastAsia" w:ascii="仿宋_GB2312" w:eastAsia="仿宋_GB2312"/>
          <w:sz w:val="32"/>
          <w:szCs w:val="32"/>
        </w:rPr>
        <w:t>个乡镇，共有</w:t>
      </w:r>
      <w:r>
        <w:rPr>
          <w:rFonts w:ascii="仿宋_GB2312" w:eastAsia="仿宋_GB2312"/>
          <w:sz w:val="32"/>
          <w:szCs w:val="32"/>
        </w:rPr>
        <w:t>24</w:t>
      </w:r>
      <w:r>
        <w:rPr>
          <w:rFonts w:hint="eastAsia" w:ascii="仿宋_GB2312" w:eastAsia="仿宋_GB2312"/>
          <w:sz w:val="32"/>
          <w:szCs w:val="32"/>
        </w:rPr>
        <w:t>个行政区村，</w:t>
      </w:r>
      <w:r>
        <w:rPr>
          <w:rFonts w:ascii="仿宋_GB2312" w:eastAsia="仿宋_GB2312"/>
          <w:sz w:val="32"/>
          <w:szCs w:val="32"/>
        </w:rPr>
        <w:t>231</w:t>
      </w:r>
      <w:r>
        <w:rPr>
          <w:rFonts w:hint="eastAsia" w:ascii="仿宋_GB2312" w:eastAsia="仿宋_GB2312"/>
          <w:sz w:val="32"/>
          <w:szCs w:val="32"/>
        </w:rPr>
        <w:t>个社，</w:t>
      </w:r>
      <w:r>
        <w:rPr>
          <w:rFonts w:ascii="仿宋_GB2312" w:eastAsia="仿宋_GB2312"/>
          <w:sz w:val="32"/>
          <w:szCs w:val="32"/>
        </w:rPr>
        <w:t>5767</w:t>
      </w:r>
      <w:r>
        <w:rPr>
          <w:rFonts w:hint="eastAsia" w:ascii="仿宋_GB2312" w:eastAsia="仿宋_GB2312"/>
          <w:sz w:val="32"/>
          <w:szCs w:val="32"/>
        </w:rPr>
        <w:t>户，</w:t>
      </w:r>
      <w:r>
        <w:rPr>
          <w:rFonts w:ascii="仿宋_GB2312" w:eastAsia="仿宋_GB2312"/>
          <w:sz w:val="32"/>
          <w:szCs w:val="32"/>
        </w:rPr>
        <w:t>24817</w:t>
      </w:r>
      <w:r>
        <w:rPr>
          <w:rFonts w:hint="eastAsia" w:ascii="仿宋_GB2312" w:eastAsia="仿宋_GB2312"/>
          <w:sz w:val="32"/>
          <w:szCs w:val="32"/>
        </w:rPr>
        <w:t>人，总耕地面积</w:t>
      </w:r>
      <w:r>
        <w:rPr>
          <w:rFonts w:ascii="仿宋_GB2312" w:eastAsia="仿宋_GB2312"/>
          <w:sz w:val="32"/>
          <w:szCs w:val="32"/>
        </w:rPr>
        <w:t>6.57</w:t>
      </w:r>
      <w:r>
        <w:rPr>
          <w:rFonts w:hint="eastAsia" w:ascii="仿宋_GB2312" w:eastAsia="仿宋_GB2312"/>
          <w:sz w:val="32"/>
          <w:szCs w:val="32"/>
        </w:rPr>
        <w:t>万亩。平均海拔在</w:t>
      </w:r>
      <w:r>
        <w:rPr>
          <w:rFonts w:ascii="仿宋_GB2312" w:eastAsia="仿宋_GB2312"/>
          <w:sz w:val="32"/>
          <w:szCs w:val="32"/>
        </w:rPr>
        <w:t>1980-2800</w:t>
      </w:r>
      <w:r>
        <w:rPr>
          <w:rFonts w:hint="eastAsia" w:ascii="仿宋_GB2312" w:eastAsia="仿宋_GB2312"/>
          <w:sz w:val="32"/>
          <w:szCs w:val="32"/>
        </w:rPr>
        <w:t>米之间，年平均气温</w:t>
      </w:r>
      <w:r>
        <w:rPr>
          <w:rFonts w:ascii="仿宋_GB2312" w:eastAsia="仿宋_GB2312"/>
          <w:sz w:val="32"/>
          <w:szCs w:val="32"/>
        </w:rPr>
        <w:t>5.5</w:t>
      </w:r>
      <w:r>
        <w:rPr>
          <w:rFonts w:hint="eastAsia" w:ascii="仿宋_GB2312" w:eastAsia="仿宋_GB2312"/>
          <w:sz w:val="32"/>
          <w:szCs w:val="32"/>
        </w:rPr>
        <w:t>℃，日照时数</w:t>
      </w:r>
      <w:r>
        <w:rPr>
          <w:rFonts w:ascii="仿宋_GB2312" w:eastAsia="仿宋_GB2312"/>
          <w:sz w:val="32"/>
          <w:szCs w:val="32"/>
        </w:rPr>
        <w:t>2500-2800</w:t>
      </w:r>
      <w:r>
        <w:rPr>
          <w:rFonts w:hint="eastAsia" w:ascii="仿宋_GB2312" w:eastAsia="仿宋_GB2312"/>
          <w:sz w:val="32"/>
          <w:szCs w:val="32"/>
        </w:rPr>
        <w:t>小时，无霜期</w:t>
      </w:r>
      <w:r>
        <w:rPr>
          <w:rFonts w:ascii="仿宋_GB2312" w:eastAsia="仿宋_GB2312"/>
          <w:sz w:val="32"/>
          <w:szCs w:val="32"/>
        </w:rPr>
        <w:t>139-160</w:t>
      </w:r>
      <w:r>
        <w:rPr>
          <w:rFonts w:hint="eastAsia" w:ascii="仿宋_GB2312" w:eastAsia="仿宋_GB2312"/>
          <w:sz w:val="32"/>
          <w:szCs w:val="32"/>
        </w:rPr>
        <w:t>天，年均降水量</w:t>
      </w:r>
      <w:r>
        <w:rPr>
          <w:rFonts w:ascii="仿宋_GB2312" w:eastAsia="仿宋_GB2312"/>
          <w:sz w:val="32"/>
          <w:szCs w:val="32"/>
        </w:rPr>
        <w:t>400</w:t>
      </w:r>
      <w:r>
        <w:rPr>
          <w:rFonts w:hint="eastAsia" w:ascii="仿宋_GB2312" w:eastAsia="仿宋_GB2312"/>
          <w:sz w:val="32"/>
          <w:szCs w:val="32"/>
        </w:rPr>
        <w:t>毫米左右，属典型的二阴山区，土壤主要类型为黑麻土和栗钙土类，有机质含量</w:t>
      </w:r>
      <w:r>
        <w:rPr>
          <w:rFonts w:ascii="仿宋_GB2312" w:eastAsia="仿宋_GB2312"/>
          <w:sz w:val="32"/>
          <w:szCs w:val="32"/>
        </w:rPr>
        <w:t>1-1.5%</w:t>
      </w:r>
      <w:r>
        <w:rPr>
          <w:rFonts w:hint="eastAsia" w:ascii="仿宋_GB2312" w:eastAsia="仿宋_GB2312"/>
          <w:sz w:val="32"/>
          <w:szCs w:val="32"/>
        </w:rPr>
        <w:t>，是兰州百合的适宜种植区。近年来，我州坚持因地制宜、发挥优势、突出重点、整体推进的原则，加强百合基地建设，现已形成以永靖县为主的具有区域特色、优势明显的产业带。目前，百合留床面积达</w:t>
      </w:r>
      <w:r>
        <w:rPr>
          <w:rFonts w:ascii="仿宋_GB2312" w:eastAsia="仿宋_GB2312"/>
          <w:sz w:val="32"/>
          <w:szCs w:val="32"/>
        </w:rPr>
        <w:t>4.8</w:t>
      </w:r>
      <w:r>
        <w:rPr>
          <w:rFonts w:hint="eastAsia" w:ascii="仿宋_GB2312" w:eastAsia="仿宋_GB2312"/>
          <w:sz w:val="32"/>
          <w:szCs w:val="32"/>
        </w:rPr>
        <w:t>万亩，种植户户均增收</w:t>
      </w:r>
      <w:r>
        <w:rPr>
          <w:rFonts w:ascii="仿宋_GB2312" w:eastAsia="仿宋_GB2312"/>
          <w:sz w:val="32"/>
          <w:szCs w:val="32"/>
        </w:rPr>
        <w:t>1.3</w:t>
      </w:r>
      <w:r>
        <w:rPr>
          <w:rFonts w:hint="eastAsia" w:ascii="仿宋_GB2312" w:eastAsia="仿宋_GB2312"/>
          <w:sz w:val="32"/>
          <w:szCs w:val="32"/>
        </w:rPr>
        <w:t>万元，特别是百合种植大乡关山乡户均收入达</w:t>
      </w:r>
      <w:r>
        <w:rPr>
          <w:rFonts w:ascii="仿宋_GB2312" w:eastAsia="仿宋_GB2312"/>
          <w:sz w:val="32"/>
          <w:szCs w:val="32"/>
        </w:rPr>
        <w:t>1.6</w:t>
      </w:r>
      <w:r>
        <w:rPr>
          <w:rFonts w:hint="eastAsia" w:ascii="仿宋_GB2312" w:eastAsia="仿宋_GB2312"/>
          <w:sz w:val="32"/>
          <w:szCs w:val="32"/>
        </w:rPr>
        <w:t>万元，占家庭收入的</w:t>
      </w:r>
      <w:r>
        <w:rPr>
          <w:rFonts w:ascii="仿宋_GB2312" w:eastAsia="仿宋_GB2312"/>
          <w:sz w:val="32"/>
          <w:szCs w:val="32"/>
        </w:rPr>
        <w:t>80%</w:t>
      </w:r>
      <w:r>
        <w:rPr>
          <w:rFonts w:hint="eastAsia" w:ascii="仿宋_GB2312" w:eastAsia="仿宋_GB2312"/>
          <w:sz w:val="32"/>
          <w:szCs w:val="32"/>
        </w:rPr>
        <w:t>以上。百合种植已成为永靖县东山区农民群众持续稳定增收、实现脱贫致富的支柱产业。</w:t>
      </w:r>
    </w:p>
    <w:p>
      <w:pPr>
        <w:numPr>
          <w:ilvl w:val="0"/>
          <w:numId w:val="2"/>
        </w:numPr>
        <w:spacing w:line="60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存在的问题</w:t>
      </w:r>
    </w:p>
    <w:p>
      <w:pPr>
        <w:autoSpaceDE w:val="0"/>
        <w:spacing w:line="600" w:lineRule="exact"/>
        <w:ind w:firstLine="793" w:firstLineChars="247"/>
        <w:rPr>
          <w:rFonts w:ascii="仿宋_GB2312" w:eastAsia="仿宋_GB2312"/>
          <w:sz w:val="32"/>
          <w:szCs w:val="32"/>
        </w:rPr>
      </w:pPr>
      <w:r>
        <w:rPr>
          <w:rFonts w:ascii="仿宋_GB2312" w:eastAsia="仿宋_GB2312"/>
          <w:b/>
          <w:bCs/>
          <w:sz w:val="32"/>
          <w:szCs w:val="32"/>
        </w:rPr>
        <w:t>1</w:t>
      </w:r>
      <w:r>
        <w:rPr>
          <w:rFonts w:hint="eastAsia" w:ascii="仿宋_GB2312" w:eastAsia="仿宋_GB2312"/>
          <w:b/>
          <w:bCs/>
          <w:sz w:val="32"/>
          <w:szCs w:val="32"/>
        </w:rPr>
        <w:t>、发展资金不足。</w:t>
      </w:r>
      <w:r>
        <w:rPr>
          <w:rFonts w:hint="eastAsia" w:ascii="仿宋_GB2312" w:eastAsia="仿宋_GB2312"/>
          <w:sz w:val="32"/>
          <w:szCs w:val="32"/>
        </w:rPr>
        <w:t>百合生长年限较长（</w:t>
      </w:r>
      <w:r>
        <w:rPr>
          <w:rFonts w:ascii="仿宋_GB2312" w:eastAsia="仿宋_GB2312"/>
          <w:sz w:val="32"/>
          <w:szCs w:val="32"/>
        </w:rPr>
        <w:t>3</w:t>
      </w:r>
      <w:r>
        <w:rPr>
          <w:rFonts w:hint="eastAsia" w:ascii="仿宋_GB2312" w:eastAsia="仿宋_GB2312"/>
          <w:sz w:val="32"/>
          <w:szCs w:val="32"/>
        </w:rPr>
        <w:t>年以上），倒茬期至少也需</w:t>
      </w:r>
      <w:r>
        <w:rPr>
          <w:rFonts w:ascii="仿宋_GB2312" w:eastAsia="仿宋_GB2312"/>
          <w:sz w:val="32"/>
          <w:szCs w:val="32"/>
        </w:rPr>
        <w:t>3</w:t>
      </w:r>
      <w:r>
        <w:rPr>
          <w:rFonts w:hint="eastAsia" w:ascii="仿宋_GB2312" w:eastAsia="仿宋_GB2312"/>
          <w:sz w:val="32"/>
          <w:szCs w:val="32"/>
        </w:rPr>
        <w:t>年，亩均投入生产成本在</w:t>
      </w:r>
      <w:r>
        <w:rPr>
          <w:rFonts w:ascii="仿宋_GB2312" w:eastAsia="仿宋_GB2312"/>
          <w:sz w:val="32"/>
          <w:szCs w:val="32"/>
        </w:rPr>
        <w:t>1</w:t>
      </w:r>
      <w:r>
        <w:rPr>
          <w:rFonts w:hint="eastAsia" w:ascii="仿宋_GB2312" w:eastAsia="仿宋_GB2312"/>
          <w:sz w:val="32"/>
          <w:szCs w:val="32"/>
        </w:rPr>
        <w:t>万元左右，群众自筹资金的能力有限，影响了百合种植面积的增加。</w:t>
      </w:r>
    </w:p>
    <w:p>
      <w:pPr>
        <w:autoSpaceDE w:val="0"/>
        <w:spacing w:line="600" w:lineRule="exact"/>
        <w:ind w:firstLine="793" w:firstLineChars="247"/>
        <w:rPr>
          <w:rFonts w:ascii="仿宋_GB2312" w:eastAsia="仿宋_GB2312"/>
          <w:sz w:val="32"/>
          <w:szCs w:val="32"/>
        </w:rPr>
      </w:pPr>
      <w:r>
        <w:rPr>
          <w:rFonts w:ascii="仿宋_GB2312" w:eastAsia="仿宋_GB2312"/>
          <w:b/>
          <w:bCs/>
          <w:sz w:val="32"/>
          <w:szCs w:val="32"/>
        </w:rPr>
        <w:t>2</w:t>
      </w:r>
      <w:r>
        <w:rPr>
          <w:rFonts w:hint="eastAsia" w:ascii="仿宋_GB2312" w:eastAsia="仿宋_GB2312"/>
          <w:b/>
          <w:bCs/>
          <w:sz w:val="32"/>
          <w:szCs w:val="32"/>
        </w:rPr>
        <w:t>、品种退化严重。</w:t>
      </w:r>
      <w:r>
        <w:rPr>
          <w:rFonts w:hint="eastAsia" w:ascii="仿宋_GB2312" w:eastAsia="仿宋_GB2312"/>
          <w:sz w:val="32"/>
          <w:szCs w:val="32"/>
        </w:rPr>
        <w:t>种植的百合籽种主要靠自然生长的母籽进行选育，由于种球自然退化，独头率从原来的</w:t>
      </w:r>
      <w:r>
        <w:rPr>
          <w:rFonts w:ascii="仿宋_GB2312" w:eastAsia="仿宋_GB2312"/>
          <w:sz w:val="32"/>
          <w:szCs w:val="32"/>
        </w:rPr>
        <w:t>70%</w:t>
      </w:r>
      <w:r>
        <w:rPr>
          <w:rFonts w:hint="eastAsia" w:ascii="仿宋_GB2312" w:eastAsia="仿宋_GB2312"/>
          <w:sz w:val="32"/>
          <w:szCs w:val="32"/>
        </w:rPr>
        <w:t>下降到不足</w:t>
      </w:r>
      <w:r>
        <w:rPr>
          <w:rFonts w:ascii="仿宋_GB2312" w:eastAsia="仿宋_GB2312"/>
          <w:sz w:val="32"/>
          <w:szCs w:val="32"/>
        </w:rPr>
        <w:t>40%</w:t>
      </w:r>
      <w:r>
        <w:rPr>
          <w:rFonts w:hint="eastAsia" w:ascii="仿宋_GB2312" w:eastAsia="仿宋_GB2312"/>
          <w:sz w:val="32"/>
          <w:szCs w:val="32"/>
        </w:rPr>
        <w:t>，品种退化严重。</w:t>
      </w:r>
    </w:p>
    <w:p>
      <w:pPr>
        <w:autoSpaceDE w:val="0"/>
        <w:spacing w:line="600" w:lineRule="exact"/>
        <w:ind w:firstLine="793" w:firstLineChars="247"/>
        <w:rPr>
          <w:rFonts w:ascii="仿宋_GB2312" w:eastAsia="仿宋_GB2312"/>
          <w:sz w:val="32"/>
          <w:szCs w:val="32"/>
        </w:rPr>
      </w:pPr>
      <w:r>
        <w:rPr>
          <w:rFonts w:ascii="仿宋_GB2312" w:eastAsia="仿宋_GB2312"/>
          <w:b/>
          <w:bCs/>
          <w:sz w:val="32"/>
          <w:szCs w:val="32"/>
        </w:rPr>
        <w:t>3</w:t>
      </w:r>
      <w:r>
        <w:rPr>
          <w:rFonts w:hint="eastAsia" w:ascii="仿宋_GB2312" w:eastAsia="仿宋_GB2312"/>
          <w:b/>
          <w:bCs/>
          <w:sz w:val="32"/>
          <w:szCs w:val="32"/>
        </w:rPr>
        <w:t>、产品质量下降。</w:t>
      </w:r>
      <w:r>
        <w:rPr>
          <w:rFonts w:hint="eastAsia" w:ascii="仿宋_GB2312" w:eastAsia="仿宋_GB2312"/>
          <w:sz w:val="32"/>
          <w:szCs w:val="32"/>
        </w:rPr>
        <w:t>种植户看到前几年百合效益较好而盲目引种，栽种的大多是早应淘汰的百合品种，加之土壤环境退化，经过</w:t>
      </w:r>
      <w:r>
        <w:rPr>
          <w:rFonts w:ascii="仿宋_GB2312" w:eastAsia="仿宋_GB2312"/>
          <w:sz w:val="32"/>
          <w:szCs w:val="32"/>
        </w:rPr>
        <w:t>3</w:t>
      </w:r>
      <w:r>
        <w:rPr>
          <w:rFonts w:hint="eastAsia" w:ascii="仿宋_GB2312" w:eastAsia="仿宋_GB2312"/>
          <w:sz w:val="32"/>
          <w:szCs w:val="32"/>
        </w:rPr>
        <w:t>年生长，收获的百合无论是个头还是品质均比较差。</w:t>
      </w:r>
    </w:p>
    <w:p>
      <w:pPr>
        <w:autoSpaceDE w:val="0"/>
        <w:adjustRightInd w:val="0"/>
        <w:snapToGrid w:val="0"/>
        <w:spacing w:line="600" w:lineRule="exact"/>
        <w:ind w:firstLine="793" w:firstLineChars="247"/>
        <w:rPr>
          <w:rFonts w:ascii="仿宋_GB2312" w:eastAsia="仿宋_GB2312"/>
          <w:sz w:val="32"/>
          <w:szCs w:val="32"/>
        </w:rPr>
      </w:pPr>
      <w:r>
        <w:rPr>
          <w:rFonts w:ascii="仿宋_GB2312" w:eastAsia="仿宋_GB2312"/>
          <w:b/>
          <w:bCs/>
          <w:sz w:val="32"/>
          <w:szCs w:val="32"/>
        </w:rPr>
        <w:t>4</w:t>
      </w:r>
      <w:r>
        <w:rPr>
          <w:rFonts w:hint="eastAsia" w:ascii="仿宋_GB2312" w:eastAsia="仿宋_GB2312"/>
          <w:b/>
          <w:bCs/>
          <w:sz w:val="32"/>
          <w:szCs w:val="32"/>
        </w:rPr>
        <w:t>、龙头带动不强。</w:t>
      </w:r>
      <w:r>
        <w:rPr>
          <w:rFonts w:hint="eastAsia" w:ascii="仿宋_GB2312" w:eastAsia="仿宋_GB2312"/>
          <w:sz w:val="32"/>
          <w:szCs w:val="32"/>
        </w:rPr>
        <w:t>一是由于现有的百合加工企业大多数都是由种植大户或贩运大户在资金积累到一定程度后自发成立的，经营理念比较落后，组织化程度较低。二是百合深加工产品研发滞后，附加值低，市场竞争力弱。</w:t>
      </w:r>
    </w:p>
    <w:p>
      <w:pPr>
        <w:autoSpaceDE w:val="0"/>
        <w:adjustRightInd w:val="0"/>
        <w:snapToGrid w:val="0"/>
        <w:spacing w:line="600" w:lineRule="exact"/>
        <w:ind w:firstLine="793" w:firstLineChars="247"/>
        <w:rPr>
          <w:rFonts w:ascii="楷体_GB2312" w:hAnsi="楷体_GB2312" w:eastAsia="楷体_GB2312" w:cs="楷体_GB2312"/>
          <w:b/>
          <w:bCs/>
          <w:sz w:val="32"/>
          <w:szCs w:val="32"/>
        </w:rPr>
      </w:pPr>
      <w:r>
        <w:rPr>
          <w:rFonts w:ascii="仿宋_GB2312" w:eastAsia="仿宋_GB2312"/>
          <w:b/>
          <w:bCs/>
          <w:sz w:val="32"/>
          <w:szCs w:val="32"/>
        </w:rPr>
        <w:t>5</w:t>
      </w:r>
      <w:r>
        <w:rPr>
          <w:rFonts w:hint="eastAsia" w:ascii="仿宋_GB2312" w:eastAsia="仿宋_GB2312"/>
          <w:b/>
          <w:bCs/>
          <w:sz w:val="32"/>
          <w:szCs w:val="32"/>
        </w:rPr>
        <w:t>、销售渠道不畅。</w:t>
      </w:r>
      <w:r>
        <w:rPr>
          <w:rFonts w:hint="eastAsia" w:ascii="仿宋_GB2312" w:eastAsia="仿宋_GB2312"/>
          <w:sz w:val="32"/>
          <w:szCs w:val="32"/>
        </w:rPr>
        <w:t>一是各生产企业没有形成自己的销售网络，生产与市场销售终端脱节，在制定价格、开拓市场上始终受制于人；二是外销质量把关不严，致使部分假冒伪劣产品打着“兰州百合”的牌子流入外地市场，既侵犯了消费者权益，又损害了“兰州百合”的声誉。</w:t>
      </w:r>
    </w:p>
    <w:p>
      <w:pPr>
        <w:tabs>
          <w:tab w:val="left" w:pos="7195"/>
        </w:tabs>
        <w:spacing w:line="600" w:lineRule="exact"/>
        <w:ind w:right="25" w:rightChars="12" w:firstLine="645"/>
        <w:rPr>
          <w:rStyle w:val="6"/>
          <w:rFonts w:ascii="黑体" w:eastAsia="黑体"/>
          <w:b w:val="0"/>
          <w:sz w:val="32"/>
          <w:szCs w:val="32"/>
        </w:rPr>
      </w:pPr>
      <w:r>
        <w:rPr>
          <w:rStyle w:val="6"/>
          <w:rFonts w:hint="eastAsia" w:ascii="黑体" w:eastAsia="黑体"/>
          <w:b w:val="0"/>
          <w:sz w:val="32"/>
          <w:szCs w:val="32"/>
        </w:rPr>
        <w:t>二、总体要求</w:t>
      </w:r>
    </w:p>
    <w:p>
      <w:pPr>
        <w:spacing w:line="600" w:lineRule="exact"/>
        <w:ind w:right="25" w:rightChars="12" w:firstLine="645"/>
        <w:rPr>
          <w:rFonts w:ascii="楷体_GB2312" w:hAnsi="楷体" w:eastAsia="楷体_GB2312"/>
          <w:kern w:val="0"/>
          <w:sz w:val="32"/>
          <w:szCs w:val="32"/>
        </w:rPr>
      </w:pPr>
      <w:r>
        <w:rPr>
          <w:rFonts w:ascii="楷体_GB2312" w:hAnsi="楷体" w:eastAsia="楷体_GB2312"/>
          <w:kern w:val="0"/>
          <w:sz w:val="32"/>
          <w:szCs w:val="32"/>
        </w:rPr>
        <w:t>(</w:t>
      </w:r>
      <w:r>
        <w:rPr>
          <w:rFonts w:hint="eastAsia" w:ascii="楷体_GB2312" w:hAnsi="楷体" w:eastAsia="楷体_GB2312"/>
          <w:kern w:val="0"/>
          <w:sz w:val="32"/>
          <w:szCs w:val="32"/>
        </w:rPr>
        <w:t>一</w:t>
      </w:r>
      <w:r>
        <w:rPr>
          <w:rFonts w:ascii="楷体_GB2312" w:hAnsi="楷体" w:eastAsia="楷体_GB2312"/>
          <w:kern w:val="0"/>
          <w:sz w:val="32"/>
          <w:szCs w:val="32"/>
        </w:rPr>
        <w:t>)</w:t>
      </w:r>
      <w:r>
        <w:rPr>
          <w:rFonts w:hint="eastAsia" w:ascii="楷体_GB2312" w:hAnsi="楷体" w:eastAsia="楷体_GB2312"/>
          <w:kern w:val="0"/>
          <w:sz w:val="32"/>
          <w:szCs w:val="32"/>
        </w:rPr>
        <w:t>指导思想</w:t>
      </w:r>
    </w:p>
    <w:p>
      <w:pPr>
        <w:spacing w:line="600" w:lineRule="exact"/>
        <w:ind w:firstLine="640" w:firstLineChars="200"/>
        <w:rPr>
          <w:rFonts w:eastAsia="仿宋_GB2312"/>
          <w:color w:val="000000"/>
          <w:sz w:val="32"/>
          <w:szCs w:val="32"/>
        </w:rPr>
      </w:pPr>
      <w:r>
        <w:rPr>
          <w:rFonts w:hint="eastAsia" w:ascii="仿宋" w:hAnsi="仿宋" w:eastAsia="仿宋"/>
          <w:sz w:val="32"/>
          <w:szCs w:val="32"/>
        </w:rPr>
        <w:t>以习近平新时代中国特色社会主义思想为指引，全面贯彻党的十九大精神</w:t>
      </w:r>
      <w:r>
        <w:rPr>
          <w:rFonts w:hint="eastAsia" w:eastAsia="仿宋_GB2312"/>
          <w:color w:val="000000"/>
          <w:sz w:val="32"/>
          <w:szCs w:val="32"/>
        </w:rPr>
        <w:t>，</w:t>
      </w:r>
      <w:r>
        <w:rPr>
          <w:rFonts w:hint="eastAsia" w:ascii="仿宋_GB2312" w:hAnsi="仿宋_GB2312" w:eastAsia="仿宋_GB2312" w:cs="仿宋_GB2312"/>
          <w:kern w:val="0"/>
          <w:sz w:val="32"/>
          <w:szCs w:val="32"/>
        </w:rPr>
        <w:t>牢固树立创新、协调、绿色、开放、共享的发展理念，</w:t>
      </w:r>
      <w:r>
        <w:rPr>
          <w:rFonts w:hint="eastAsia" w:eastAsia="仿宋_GB2312"/>
          <w:color w:val="000000"/>
          <w:sz w:val="32"/>
          <w:szCs w:val="32"/>
        </w:rPr>
        <w:t>紧紧围绕农业增效、农民增收和加快农业现代化的目标，以农业产业结构的战略性调整为主线，以体制创新和技术创新为动力，以建立无公害百合生产基地、百合品种改良基地、百合质量安全体系和培育龙头企业以及发展农民专业合作组织为重要途径，加快百合产业化建设步伐，</w:t>
      </w:r>
      <w:r>
        <w:rPr>
          <w:rFonts w:hint="eastAsia" w:ascii="仿宋_GB2312" w:eastAsia="仿宋_GB2312"/>
          <w:sz w:val="32"/>
          <w:szCs w:val="32"/>
        </w:rPr>
        <w:t>全面提升产业整体水平和市场竞争力</w:t>
      </w:r>
      <w:r>
        <w:rPr>
          <w:rFonts w:hint="eastAsia" w:eastAsia="仿宋_GB2312"/>
          <w:color w:val="000000"/>
          <w:sz w:val="32"/>
          <w:szCs w:val="32"/>
        </w:rPr>
        <w:t>。</w:t>
      </w:r>
    </w:p>
    <w:p>
      <w:pPr>
        <w:spacing w:line="600" w:lineRule="exact"/>
        <w:ind w:right="25" w:rightChars="12" w:firstLine="645"/>
        <w:rPr>
          <w:rFonts w:ascii="楷体_GB2312" w:hAnsi="楷体" w:eastAsia="楷体_GB2312"/>
          <w:kern w:val="0"/>
          <w:sz w:val="32"/>
          <w:szCs w:val="32"/>
        </w:rPr>
      </w:pPr>
      <w:r>
        <w:rPr>
          <w:rFonts w:ascii="楷体_GB2312" w:hAnsi="楷体" w:eastAsia="楷体_GB2312"/>
          <w:kern w:val="0"/>
          <w:sz w:val="32"/>
          <w:szCs w:val="32"/>
        </w:rPr>
        <w:t>(</w:t>
      </w:r>
      <w:r>
        <w:rPr>
          <w:rFonts w:hint="eastAsia" w:ascii="楷体_GB2312" w:hAnsi="楷体" w:eastAsia="楷体_GB2312"/>
          <w:kern w:val="0"/>
          <w:sz w:val="32"/>
          <w:szCs w:val="32"/>
        </w:rPr>
        <w:t>二</w:t>
      </w:r>
      <w:r>
        <w:rPr>
          <w:rFonts w:ascii="楷体_GB2312" w:hAnsi="楷体" w:eastAsia="楷体_GB2312"/>
          <w:kern w:val="0"/>
          <w:sz w:val="32"/>
          <w:szCs w:val="32"/>
        </w:rPr>
        <w:t>)</w:t>
      </w:r>
      <w:r>
        <w:rPr>
          <w:rFonts w:hint="eastAsia" w:ascii="楷体_GB2312" w:hAnsi="楷体" w:eastAsia="楷体_GB2312"/>
          <w:kern w:val="0"/>
          <w:sz w:val="32"/>
          <w:szCs w:val="32"/>
        </w:rPr>
        <w:t>基本原则</w:t>
      </w:r>
    </w:p>
    <w:p>
      <w:pPr>
        <w:snapToGrid w:val="0"/>
        <w:spacing w:line="600" w:lineRule="exact"/>
        <w:ind w:firstLine="643" w:firstLineChars="20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、政府引导，市场运作。</w:t>
      </w:r>
      <w:r>
        <w:rPr>
          <w:rFonts w:hint="eastAsia" w:ascii="仿宋_GB2312" w:eastAsia="仿宋_GB2312"/>
          <w:sz w:val="32"/>
          <w:szCs w:val="32"/>
        </w:rPr>
        <w:t>坚持以市场为导向，</w:t>
      </w:r>
      <w:r>
        <w:rPr>
          <w:rFonts w:hint="eastAsia" w:eastAsia="仿宋_GB2312"/>
          <w:color w:val="000000"/>
          <w:sz w:val="32"/>
          <w:szCs w:val="32"/>
        </w:rPr>
        <w:t>以效益为中心，以品质为根本，以科技为支撑，</w:t>
      </w:r>
      <w:r>
        <w:rPr>
          <w:rFonts w:hint="eastAsia" w:ascii="仿宋_GB2312" w:eastAsia="仿宋_GB2312"/>
          <w:sz w:val="32"/>
          <w:szCs w:val="32"/>
        </w:rPr>
        <w:t>加大政策和项目扶持。</w:t>
      </w:r>
    </w:p>
    <w:p>
      <w:pPr>
        <w:snapToGrid w:val="0"/>
        <w:spacing w:line="60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、突出优势，优化布局。</w:t>
      </w:r>
      <w:r>
        <w:rPr>
          <w:rFonts w:hint="eastAsia" w:ascii="仿宋_GB2312" w:eastAsia="仿宋_GB2312"/>
          <w:sz w:val="32"/>
          <w:szCs w:val="32"/>
        </w:rPr>
        <w:t>结合当地资源条件和产业布局，突出地域特点，因地制宜，科学规划，优化布局。</w:t>
      </w:r>
    </w:p>
    <w:p>
      <w:pPr>
        <w:snapToGrid w:val="0"/>
        <w:spacing w:line="600" w:lineRule="exact"/>
        <w:ind w:firstLine="643"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、集中连片，稳步推进。</w:t>
      </w:r>
      <w:r>
        <w:rPr>
          <w:rFonts w:hint="eastAsia" w:ascii="仿宋_GB2312" w:eastAsia="仿宋_GB2312"/>
          <w:sz w:val="32"/>
          <w:szCs w:val="32"/>
        </w:rPr>
        <w:t>坚持集中连片发展，以点带面，稳步扩大生产规模。</w:t>
      </w:r>
    </w:p>
    <w:p>
      <w:pPr>
        <w:snapToGrid w:val="0"/>
        <w:spacing w:line="600" w:lineRule="exact"/>
        <w:ind w:firstLine="643" w:firstLineChars="200"/>
        <w:rPr>
          <w:rFonts w:ascii="仿宋_GB2312" w:eastAsia="仿宋_GB2312"/>
          <w:sz w:val="32"/>
          <w:szCs w:val="32"/>
        </w:rPr>
      </w:pPr>
      <w:r>
        <w:rPr>
          <w:rFonts w:ascii="仿宋_GB2312" w:eastAsia="仿宋_GB2312"/>
          <w:b/>
          <w:sz w:val="32"/>
          <w:szCs w:val="32"/>
        </w:rPr>
        <w:t>4</w:t>
      </w:r>
      <w:r>
        <w:rPr>
          <w:rFonts w:hint="eastAsia" w:ascii="仿宋_GB2312" w:eastAsia="仿宋_GB2312"/>
          <w:b/>
          <w:sz w:val="32"/>
          <w:szCs w:val="32"/>
        </w:rPr>
        <w:t>、技术引领，科学发展。</w:t>
      </w:r>
      <w:r>
        <w:rPr>
          <w:rFonts w:hint="eastAsia" w:ascii="仿宋_GB2312" w:eastAsia="仿宋_GB2312"/>
          <w:sz w:val="32"/>
          <w:szCs w:val="32"/>
        </w:rPr>
        <w:t>以新品种、新技术、新设备的引进、示范、推广为重点，推进标准化生产。</w:t>
      </w:r>
    </w:p>
    <w:p>
      <w:pPr>
        <w:spacing w:line="600" w:lineRule="exact"/>
        <w:ind w:right="25" w:rightChars="12" w:firstLine="470" w:firstLineChars="147"/>
        <w:rPr>
          <w:rFonts w:ascii="楷体_GB2312" w:hAnsi="楷体" w:eastAsia="楷体_GB2312"/>
          <w:kern w:val="0"/>
          <w:sz w:val="32"/>
          <w:szCs w:val="32"/>
        </w:rPr>
      </w:pPr>
      <w:r>
        <w:rPr>
          <w:rFonts w:ascii="楷体_GB2312" w:hAnsi="楷体" w:eastAsia="楷体_GB2312"/>
          <w:kern w:val="0"/>
          <w:sz w:val="32"/>
          <w:szCs w:val="32"/>
        </w:rPr>
        <w:t xml:space="preserve"> (</w:t>
      </w:r>
      <w:r>
        <w:rPr>
          <w:rFonts w:hint="eastAsia" w:ascii="楷体_GB2312" w:hAnsi="楷体" w:eastAsia="楷体_GB2312"/>
          <w:kern w:val="0"/>
          <w:sz w:val="32"/>
          <w:szCs w:val="32"/>
        </w:rPr>
        <w:t>三</w:t>
      </w:r>
      <w:r>
        <w:rPr>
          <w:rFonts w:ascii="楷体_GB2312" w:hAnsi="楷体" w:eastAsia="楷体_GB2312"/>
          <w:kern w:val="0"/>
          <w:sz w:val="32"/>
          <w:szCs w:val="32"/>
        </w:rPr>
        <w:t>)</w:t>
      </w:r>
      <w:r>
        <w:rPr>
          <w:rFonts w:hint="eastAsia" w:ascii="楷体_GB2312" w:hAnsi="楷体" w:eastAsia="楷体_GB2312"/>
          <w:kern w:val="0"/>
          <w:sz w:val="32"/>
          <w:szCs w:val="32"/>
        </w:rPr>
        <w:t>发展定位</w:t>
      </w:r>
    </w:p>
    <w:p>
      <w:pPr>
        <w:tabs>
          <w:tab w:val="left" w:pos="1335"/>
        </w:tabs>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坚持因地制宜，长远谋划，抢抓国家打赢扶贫攻坚决战期的重要发展机遇，</w:t>
      </w:r>
      <w:r>
        <w:rPr>
          <w:rFonts w:hint="eastAsia" w:ascii="仿宋_GB2312" w:hAnsi="仿宋_GB2312" w:eastAsia="仿宋_GB2312" w:cs="仿宋_GB2312"/>
          <w:bCs/>
          <w:kern w:val="0"/>
          <w:sz w:val="32"/>
          <w:szCs w:val="32"/>
        </w:rPr>
        <w:t>通过</w:t>
      </w:r>
      <w:r>
        <w:rPr>
          <w:rFonts w:hint="eastAsia" w:ascii="仿宋_GB2312" w:hAnsi="仿宋_GB2312" w:eastAsia="仿宋_GB2312" w:cs="仿宋_GB2312"/>
          <w:kern w:val="0"/>
          <w:sz w:val="32"/>
          <w:szCs w:val="32"/>
        </w:rPr>
        <w:t>狠抓基地建设，加强技术服务，延伸产业链条，力争</w:t>
      </w:r>
      <w:r>
        <w:rPr>
          <w:rFonts w:hint="eastAsia" w:ascii="仿宋_GB2312" w:eastAsia="仿宋_GB2312"/>
          <w:color w:val="000000"/>
          <w:sz w:val="32"/>
          <w:szCs w:val="32"/>
        </w:rPr>
        <w:t>实现百合生产规模化、标准化、品牌化，</w:t>
      </w:r>
      <w:r>
        <w:rPr>
          <w:rFonts w:hint="eastAsia" w:ascii="仿宋_GB2312" w:hAnsi="仿宋_GB2312" w:eastAsia="仿宋_GB2312" w:cs="仿宋_GB2312"/>
          <w:kern w:val="0"/>
          <w:sz w:val="32"/>
          <w:szCs w:val="32"/>
        </w:rPr>
        <w:t>全面提升百合产业市场竞争力，</w:t>
      </w:r>
      <w:r>
        <w:rPr>
          <w:rFonts w:hint="eastAsia" w:ascii="仿宋_GB2312" w:eastAsia="仿宋_GB2312"/>
          <w:color w:val="000000"/>
          <w:sz w:val="32"/>
          <w:szCs w:val="32"/>
        </w:rPr>
        <w:t>切实提高百合种植户收入，使百合产业真正成为广大种植户脱贫致富的富民产业。努力把永靖县打造成为全省百合产业生产和加工基地。</w:t>
      </w:r>
    </w:p>
    <w:p>
      <w:pPr>
        <w:spacing w:line="600" w:lineRule="exact"/>
        <w:ind w:firstLine="645"/>
        <w:rPr>
          <w:rFonts w:ascii="楷体_GB2312" w:hAnsi="楷体_GB2312" w:eastAsia="楷体_GB2312" w:cs="楷体_GB2312"/>
          <w:bCs/>
          <w:kern w:val="0"/>
          <w:sz w:val="32"/>
          <w:szCs w:val="32"/>
        </w:rPr>
      </w:pPr>
      <w:r>
        <w:rPr>
          <w:rFonts w:ascii="楷体_GB2312" w:hAnsi="楷体_GB2312" w:eastAsia="楷体_GB2312" w:cs="楷体_GB2312"/>
          <w:kern w:val="0"/>
          <w:sz w:val="32"/>
          <w:szCs w:val="32"/>
        </w:rPr>
        <w:t>(</w:t>
      </w:r>
      <w:r>
        <w:rPr>
          <w:rFonts w:hint="eastAsia" w:ascii="楷体_GB2312" w:hAnsi="楷体_GB2312" w:eastAsia="楷体_GB2312" w:cs="楷体_GB2312"/>
          <w:kern w:val="0"/>
          <w:sz w:val="32"/>
          <w:szCs w:val="32"/>
        </w:rPr>
        <w:t>四</w:t>
      </w:r>
      <w:r>
        <w:rPr>
          <w:rFonts w:ascii="楷体_GB2312" w:hAnsi="楷体_GB2312" w:eastAsia="楷体_GB2312" w:cs="楷体_GB2312"/>
          <w:kern w:val="0"/>
          <w:sz w:val="32"/>
          <w:szCs w:val="32"/>
        </w:rPr>
        <w:t>)</w:t>
      </w:r>
      <w:r>
        <w:rPr>
          <w:rFonts w:hint="eastAsia" w:ascii="楷体_GB2312" w:hAnsi="楷体_GB2312" w:eastAsia="楷体_GB2312" w:cs="楷体_GB2312"/>
          <w:kern w:val="0"/>
          <w:sz w:val="32"/>
          <w:szCs w:val="32"/>
        </w:rPr>
        <w:t>发展目标</w:t>
      </w:r>
      <w:r>
        <w:rPr>
          <w:rFonts w:hint="eastAsia" w:ascii="楷体_GB2312" w:hAnsi="楷体_GB2312" w:eastAsia="楷体_GB2312" w:cs="楷体_GB2312"/>
          <w:kern w:val="0"/>
          <w:sz w:val="32"/>
          <w:szCs w:val="32"/>
          <w:lang w:eastAsia="zh-CN"/>
        </w:rPr>
        <w:t>和主要任务</w:t>
      </w:r>
    </w:p>
    <w:p>
      <w:pPr>
        <w:tabs>
          <w:tab w:val="left" w:pos="1335"/>
        </w:tabs>
        <w:spacing w:line="600" w:lineRule="exact"/>
        <w:ind w:firstLine="643" w:firstLineChars="200"/>
        <w:rPr>
          <w:rFonts w:ascii="仿宋_GB2312" w:eastAsia="仿宋_GB2312" w:cs="仿宋_GB2312"/>
          <w:b/>
          <w:bCs/>
          <w:kern w:val="0"/>
          <w:sz w:val="32"/>
          <w:szCs w:val="32"/>
        </w:rPr>
      </w:pPr>
      <w:r>
        <w:rPr>
          <w:rFonts w:ascii="仿宋_GB2312" w:eastAsia="仿宋_GB2312" w:cs="仿宋_GB2312"/>
          <w:b/>
          <w:bCs/>
          <w:kern w:val="0"/>
          <w:sz w:val="32"/>
          <w:szCs w:val="32"/>
        </w:rPr>
        <w:t>1</w:t>
      </w:r>
      <w:r>
        <w:rPr>
          <w:rFonts w:hint="eastAsia" w:ascii="仿宋_GB2312" w:eastAsia="仿宋_GB2312" w:cs="仿宋_GB2312"/>
          <w:b/>
          <w:bCs/>
          <w:kern w:val="0"/>
          <w:sz w:val="32"/>
          <w:szCs w:val="32"/>
        </w:rPr>
        <w:t>、总体目标</w:t>
      </w:r>
    </w:p>
    <w:p>
      <w:pPr>
        <w:tabs>
          <w:tab w:val="left" w:pos="1335"/>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2018年，</w:t>
      </w:r>
      <w:r>
        <w:rPr>
          <w:rFonts w:hint="eastAsia" w:ascii="仿宋_GB2312" w:eastAsia="仿宋_GB2312"/>
          <w:color w:val="000000"/>
          <w:sz w:val="32"/>
          <w:szCs w:val="32"/>
          <w:lang w:eastAsia="zh-CN"/>
        </w:rPr>
        <w:t>永靖县陈井镇、关山乡、</w:t>
      </w:r>
      <w:r>
        <w:rPr>
          <w:rFonts w:hint="eastAsia" w:ascii="仿宋" w:hAnsi="仿宋" w:eastAsia="仿宋" w:cs="仿宋"/>
          <w:sz w:val="32"/>
          <w:szCs w:val="32"/>
        </w:rPr>
        <w:t>徐顶乡</w:t>
      </w:r>
      <w:r>
        <w:rPr>
          <w:rFonts w:hint="eastAsia" w:ascii="仿宋" w:hAnsi="仿宋" w:eastAsia="仿宋" w:cs="仿宋"/>
          <w:sz w:val="32"/>
          <w:szCs w:val="32"/>
          <w:lang w:val="en-US" w:eastAsia="zh-CN"/>
        </w:rPr>
        <w:t>3个乡镇</w:t>
      </w:r>
      <w:r>
        <w:rPr>
          <w:rFonts w:hint="eastAsia" w:ascii="仿宋_GB2312" w:eastAsia="仿宋_GB2312"/>
          <w:color w:val="000000"/>
          <w:sz w:val="32"/>
          <w:szCs w:val="32"/>
        </w:rPr>
        <w:t>百合种植面积达到5.1万亩，新增0.3万亩，产量达到1.</w:t>
      </w:r>
      <w:r>
        <w:rPr>
          <w:rFonts w:hint="eastAsia" w:ascii="仿宋_GB2312" w:eastAsia="仿宋_GB2312"/>
          <w:color w:val="000000"/>
          <w:sz w:val="32"/>
          <w:szCs w:val="32"/>
          <w:lang w:val="en-US" w:eastAsia="zh-CN"/>
        </w:rPr>
        <w:t>36</w:t>
      </w:r>
      <w:r>
        <w:rPr>
          <w:rFonts w:hint="eastAsia" w:ascii="仿宋_GB2312" w:eastAsia="仿宋_GB2312"/>
          <w:color w:val="000000"/>
          <w:sz w:val="32"/>
          <w:szCs w:val="32"/>
        </w:rPr>
        <w:t>万吨，产值达到2.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7</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亿元，年加工百合2000吨以上，产值8000万元以上。</w:t>
      </w:r>
      <w:r>
        <w:rPr>
          <w:rFonts w:hint="eastAsia" w:ascii="仿宋_GB2312" w:eastAsia="仿宋_GB2312"/>
          <w:color w:val="000000"/>
          <w:sz w:val="32"/>
          <w:szCs w:val="32"/>
          <w:lang w:val="en-US" w:eastAsia="zh-CN"/>
        </w:rPr>
        <w:t>70</w:t>
      </w:r>
      <w:r>
        <w:rPr>
          <w:rFonts w:hint="eastAsia" w:ascii="仿宋_GB2312" w:eastAsia="仿宋_GB2312"/>
          <w:color w:val="000000"/>
          <w:sz w:val="32"/>
          <w:szCs w:val="32"/>
        </w:rPr>
        <w:t>％</w:t>
      </w:r>
      <w:r>
        <w:rPr>
          <w:rFonts w:hint="eastAsia" w:ascii="仿宋_GB2312" w:eastAsia="仿宋_GB2312"/>
          <w:color w:val="000000"/>
          <w:sz w:val="32"/>
          <w:szCs w:val="32"/>
          <w:lang w:eastAsia="zh-CN"/>
        </w:rPr>
        <w:t>以上</w:t>
      </w:r>
      <w:r>
        <w:rPr>
          <w:rFonts w:hint="eastAsia" w:ascii="仿宋_GB2312" w:eastAsia="仿宋_GB2312"/>
          <w:color w:val="000000"/>
          <w:sz w:val="32"/>
          <w:szCs w:val="32"/>
        </w:rPr>
        <w:t>的产品质量符合绿色产品质量标准，</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以上</w:t>
      </w:r>
      <w:r>
        <w:rPr>
          <w:rFonts w:hint="eastAsia" w:ascii="仿宋_GB2312" w:eastAsia="仿宋_GB2312"/>
          <w:color w:val="000000"/>
          <w:sz w:val="32"/>
          <w:szCs w:val="32"/>
        </w:rPr>
        <w:t>的产品质量符合有机产品质量标准，商品转化率达</w:t>
      </w:r>
      <w:r>
        <w:rPr>
          <w:rFonts w:hint="eastAsia" w:ascii="仿宋_GB2312" w:eastAsia="仿宋_GB2312"/>
          <w:color w:val="000000"/>
          <w:sz w:val="32"/>
          <w:szCs w:val="32"/>
          <w:lang w:val="en-US" w:eastAsia="zh-CN"/>
        </w:rPr>
        <w:t>70</w:t>
      </w:r>
      <w:r>
        <w:rPr>
          <w:rFonts w:hint="eastAsia" w:ascii="仿宋_GB2312" w:eastAsia="仿宋_GB2312"/>
          <w:color w:val="000000"/>
          <w:sz w:val="32"/>
          <w:szCs w:val="32"/>
        </w:rPr>
        <w:t>%以上。</w:t>
      </w:r>
    </w:p>
    <w:p>
      <w:pPr>
        <w:tabs>
          <w:tab w:val="left" w:pos="1335"/>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w:t>
      </w:r>
      <w:r>
        <w:rPr>
          <w:rFonts w:hint="eastAsia" w:ascii="仿宋_GB2312" w:eastAsia="仿宋_GB2312"/>
          <w:color w:val="000000"/>
          <w:sz w:val="32"/>
          <w:szCs w:val="32"/>
          <w:lang w:eastAsia="zh-CN"/>
        </w:rPr>
        <w:t>永靖县陈井镇、关山乡、</w:t>
      </w:r>
      <w:r>
        <w:rPr>
          <w:rFonts w:hint="eastAsia" w:ascii="仿宋" w:hAnsi="仿宋" w:eastAsia="仿宋" w:cs="仿宋"/>
          <w:sz w:val="32"/>
          <w:szCs w:val="32"/>
        </w:rPr>
        <w:t>徐顶乡</w:t>
      </w:r>
      <w:r>
        <w:rPr>
          <w:rFonts w:hint="eastAsia" w:ascii="仿宋" w:hAnsi="仿宋" w:eastAsia="仿宋" w:cs="仿宋"/>
          <w:sz w:val="32"/>
          <w:szCs w:val="32"/>
          <w:lang w:val="en-US" w:eastAsia="zh-CN"/>
        </w:rPr>
        <w:t>3个乡镇</w:t>
      </w:r>
      <w:r>
        <w:rPr>
          <w:rFonts w:hint="eastAsia" w:ascii="仿宋_GB2312" w:eastAsia="仿宋_GB2312"/>
          <w:color w:val="000000"/>
          <w:sz w:val="32"/>
          <w:szCs w:val="32"/>
        </w:rPr>
        <w:t>百合种植面积达到5.4万亩，新增0.3万亩，产量达到</w:t>
      </w:r>
      <w:r>
        <w:rPr>
          <w:rFonts w:hint="eastAsia" w:ascii="仿宋_GB2312" w:eastAsia="仿宋_GB2312"/>
          <w:color w:val="000000"/>
          <w:sz w:val="32"/>
          <w:szCs w:val="32"/>
          <w:lang w:val="en-US" w:eastAsia="zh-CN"/>
        </w:rPr>
        <w:t>1.44</w:t>
      </w:r>
      <w:r>
        <w:rPr>
          <w:rFonts w:hint="eastAsia" w:ascii="仿宋_GB2312" w:eastAsia="仿宋_GB2312"/>
          <w:color w:val="000000"/>
          <w:sz w:val="32"/>
          <w:szCs w:val="32"/>
        </w:rPr>
        <w:t>万吨，产值达到</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04</w:t>
      </w:r>
      <w:r>
        <w:rPr>
          <w:rFonts w:hint="eastAsia" w:ascii="仿宋_GB2312" w:eastAsia="仿宋_GB2312"/>
          <w:color w:val="000000"/>
          <w:sz w:val="32"/>
          <w:szCs w:val="32"/>
        </w:rPr>
        <w:t>亿元，年加工百合2500吨以上，产值1亿元以上。7</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％的产品质量符合绿色产品质量标准，</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%的产品质量符合有机产品质量标准，商品转化率达</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5%以上。</w:t>
      </w:r>
    </w:p>
    <w:p>
      <w:pPr>
        <w:tabs>
          <w:tab w:val="left" w:pos="1335"/>
        </w:tabs>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到2020年，</w:t>
      </w:r>
      <w:r>
        <w:rPr>
          <w:rFonts w:hint="eastAsia" w:ascii="仿宋_GB2312" w:eastAsia="仿宋_GB2312"/>
          <w:color w:val="000000"/>
          <w:sz w:val="32"/>
          <w:szCs w:val="32"/>
          <w:lang w:eastAsia="zh-CN"/>
        </w:rPr>
        <w:t>永靖县陈井镇、关山乡、</w:t>
      </w:r>
      <w:r>
        <w:rPr>
          <w:rFonts w:hint="eastAsia" w:ascii="仿宋" w:hAnsi="仿宋" w:eastAsia="仿宋" w:cs="仿宋"/>
          <w:sz w:val="32"/>
          <w:szCs w:val="32"/>
        </w:rPr>
        <w:t>徐顶乡</w:t>
      </w:r>
      <w:r>
        <w:rPr>
          <w:rFonts w:hint="eastAsia" w:ascii="仿宋" w:hAnsi="仿宋" w:eastAsia="仿宋" w:cs="仿宋"/>
          <w:sz w:val="32"/>
          <w:szCs w:val="32"/>
          <w:lang w:val="en-US" w:eastAsia="zh-CN"/>
        </w:rPr>
        <w:t>3个乡镇</w:t>
      </w:r>
      <w:r>
        <w:rPr>
          <w:rFonts w:hint="eastAsia" w:ascii="仿宋_GB2312" w:eastAsia="仿宋_GB2312"/>
          <w:color w:val="000000"/>
          <w:sz w:val="32"/>
          <w:szCs w:val="32"/>
        </w:rPr>
        <w:t>百合种植面积达到5.7万亩，新增0.3万亩，产量达到</w:t>
      </w:r>
      <w:r>
        <w:rPr>
          <w:rFonts w:hint="eastAsia" w:ascii="仿宋_GB2312" w:eastAsia="仿宋_GB2312"/>
          <w:color w:val="000000"/>
          <w:sz w:val="32"/>
          <w:szCs w:val="32"/>
          <w:lang w:val="en-US" w:eastAsia="zh-CN"/>
        </w:rPr>
        <w:t>1.52</w:t>
      </w:r>
      <w:r>
        <w:rPr>
          <w:rFonts w:hint="eastAsia" w:ascii="仿宋_GB2312" w:eastAsia="仿宋_GB2312"/>
          <w:color w:val="000000"/>
          <w:sz w:val="32"/>
          <w:szCs w:val="32"/>
        </w:rPr>
        <w:t>万吨，产值达到</w:t>
      </w:r>
      <w:r>
        <w:rPr>
          <w:rFonts w:hint="eastAsia" w:ascii="仿宋_GB2312" w:eastAsia="仿宋_GB2312"/>
          <w:color w:val="000000"/>
          <w:sz w:val="32"/>
          <w:szCs w:val="32"/>
          <w:lang w:val="en-US" w:eastAsia="zh-CN"/>
        </w:rPr>
        <w:t>2.432</w:t>
      </w:r>
      <w:r>
        <w:rPr>
          <w:rFonts w:hint="eastAsia" w:ascii="仿宋_GB2312" w:eastAsia="仿宋_GB2312"/>
          <w:color w:val="000000"/>
          <w:sz w:val="32"/>
          <w:szCs w:val="32"/>
        </w:rPr>
        <w:t>亿元，年加工百合3000吨以上，产值1.2亿元以上。80％</w:t>
      </w:r>
      <w:r>
        <w:rPr>
          <w:rFonts w:hint="eastAsia" w:ascii="仿宋_GB2312" w:eastAsia="仿宋_GB2312"/>
          <w:color w:val="000000"/>
          <w:sz w:val="32"/>
          <w:szCs w:val="32"/>
          <w:lang w:eastAsia="zh-CN"/>
        </w:rPr>
        <w:t>以上</w:t>
      </w:r>
      <w:r>
        <w:rPr>
          <w:rFonts w:hint="eastAsia" w:ascii="仿宋_GB2312" w:eastAsia="仿宋_GB2312"/>
          <w:color w:val="000000"/>
          <w:sz w:val="32"/>
          <w:szCs w:val="32"/>
        </w:rPr>
        <w:t>的产品质量符合绿色产品质量标准，</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%的产品质量符合有机产品质量标准，商品转化率达</w:t>
      </w:r>
      <w:r>
        <w:rPr>
          <w:rFonts w:hint="eastAsia" w:ascii="仿宋_GB2312" w:eastAsia="仿宋_GB2312"/>
          <w:color w:val="000000"/>
          <w:sz w:val="32"/>
          <w:szCs w:val="32"/>
          <w:lang w:val="en-US" w:eastAsia="zh-CN"/>
        </w:rPr>
        <w:t>80</w:t>
      </w:r>
      <w:r>
        <w:rPr>
          <w:rFonts w:hint="eastAsia" w:ascii="仿宋_GB2312" w:eastAsia="仿宋_GB2312"/>
          <w:color w:val="000000"/>
          <w:sz w:val="32"/>
          <w:szCs w:val="32"/>
        </w:rPr>
        <w:t>%以上，实现百合生产标准化、产品品牌化，切实提高百合种植户的收入。</w:t>
      </w:r>
      <w:r>
        <w:rPr>
          <w:rFonts w:hint="eastAsia" w:ascii="仿宋_GB2312" w:eastAsia="仿宋_GB2312"/>
          <w:color w:val="000000"/>
          <w:sz w:val="32"/>
          <w:szCs w:val="32"/>
          <w:lang w:eastAsia="zh-CN"/>
        </w:rPr>
        <w:t>经过</w:t>
      </w:r>
      <w:r>
        <w:rPr>
          <w:rFonts w:hint="eastAsia" w:ascii="仿宋_GB2312" w:eastAsia="仿宋_GB2312"/>
          <w:color w:val="000000"/>
          <w:sz w:val="32"/>
          <w:szCs w:val="32"/>
          <w:lang w:val="en-US" w:eastAsia="zh-CN"/>
        </w:rPr>
        <w:t>3年发展，</w:t>
      </w:r>
      <w:r>
        <w:rPr>
          <w:rFonts w:hint="eastAsia" w:ascii="仿宋_GB2312" w:eastAsia="仿宋_GB2312"/>
          <w:color w:val="000000"/>
          <w:sz w:val="32"/>
          <w:szCs w:val="32"/>
          <w:lang w:eastAsia="zh-CN"/>
        </w:rPr>
        <w:t>百合产业对贫困人口人均增收达</w:t>
      </w:r>
      <w:r>
        <w:rPr>
          <w:rFonts w:hint="eastAsia" w:ascii="仿宋_GB2312" w:eastAsia="仿宋_GB2312"/>
          <w:color w:val="000000"/>
          <w:sz w:val="32"/>
          <w:szCs w:val="32"/>
          <w:lang w:val="en-US" w:eastAsia="zh-CN"/>
        </w:rPr>
        <w:t>1250余元。</w:t>
      </w:r>
    </w:p>
    <w:p>
      <w:pPr>
        <w:widowControl/>
        <w:shd w:val="clear" w:color="auto" w:fill="FFFFFF"/>
        <w:autoSpaceDE w:val="0"/>
        <w:spacing w:line="600" w:lineRule="exact"/>
        <w:ind w:firstLine="643" w:firstLineChars="200"/>
        <w:jc w:val="left"/>
        <w:rPr>
          <w:rFonts w:ascii="仿宋_GB2312" w:eastAsia="仿宋_GB2312"/>
          <w:b/>
          <w:bCs/>
          <w:color w:val="000000"/>
          <w:kern w:val="0"/>
          <w:sz w:val="32"/>
          <w:szCs w:val="32"/>
          <w:shd w:val="clear" w:color="auto" w:fill="FFFFFF"/>
        </w:rPr>
      </w:pPr>
      <w:r>
        <w:rPr>
          <w:rFonts w:ascii="仿宋_GB2312" w:eastAsia="仿宋_GB2312"/>
          <w:b/>
          <w:bCs/>
          <w:color w:val="000000"/>
          <w:kern w:val="0"/>
          <w:sz w:val="32"/>
          <w:szCs w:val="32"/>
          <w:shd w:val="clear" w:color="auto" w:fill="FFFFFF"/>
        </w:rPr>
        <w:t>2</w:t>
      </w:r>
      <w:r>
        <w:rPr>
          <w:rFonts w:hint="eastAsia" w:ascii="仿宋_GB2312" w:eastAsia="仿宋_GB2312"/>
          <w:b/>
          <w:bCs/>
          <w:color w:val="000000"/>
          <w:kern w:val="0"/>
          <w:sz w:val="32"/>
          <w:szCs w:val="32"/>
          <w:shd w:val="clear" w:color="auto" w:fill="FFFFFF"/>
        </w:rPr>
        <w:t>、</w:t>
      </w:r>
      <w:r>
        <w:rPr>
          <w:rFonts w:hint="eastAsia" w:ascii="仿宋_GB2312" w:eastAsia="仿宋_GB2312"/>
          <w:b/>
          <w:bCs/>
          <w:color w:val="000000"/>
          <w:kern w:val="0"/>
          <w:sz w:val="32"/>
          <w:szCs w:val="32"/>
          <w:shd w:val="clear" w:color="auto" w:fill="FFFFFF"/>
          <w:lang w:eastAsia="zh-CN"/>
        </w:rPr>
        <w:t>主要任务</w:t>
      </w:r>
    </w:p>
    <w:p>
      <w:pPr>
        <w:spacing w:line="620" w:lineRule="exact"/>
        <w:ind w:firstLine="643"/>
        <w:rPr>
          <w:rFonts w:hint="eastAsia" w:ascii="仿宋_GB2312" w:eastAsia="仿宋_GB2312"/>
          <w:color w:val="000000"/>
          <w:sz w:val="32"/>
          <w:szCs w:val="32"/>
        </w:rPr>
      </w:pPr>
      <w:r>
        <w:rPr>
          <w:rFonts w:hint="eastAsia" w:ascii="仿宋" w:hAnsi="仿宋" w:eastAsia="仿宋" w:cs="仿宋"/>
          <w:b/>
          <w:sz w:val="32"/>
          <w:szCs w:val="32"/>
        </w:rPr>
        <w:t>1</w:t>
      </w:r>
      <w:r>
        <w:rPr>
          <w:rFonts w:hint="eastAsia" w:ascii="仿宋" w:hAnsi="仿宋" w:eastAsia="仿宋" w:cs="仿宋"/>
          <w:b/>
          <w:sz w:val="32"/>
          <w:szCs w:val="32"/>
          <w:lang w:eastAsia="zh-CN"/>
        </w:rPr>
        <w:t>、</w:t>
      </w:r>
      <w:r>
        <w:rPr>
          <w:rFonts w:hint="eastAsia" w:ascii="仿宋" w:hAnsi="仿宋" w:eastAsia="仿宋" w:cs="仿宋"/>
          <w:b/>
          <w:sz w:val="32"/>
          <w:szCs w:val="32"/>
        </w:rPr>
        <w:t>精准施策，实施种植增收工程。</w:t>
      </w:r>
      <w:r>
        <w:rPr>
          <w:rFonts w:hint="eastAsia" w:ascii="仿宋_GB2312" w:eastAsia="仿宋_GB2312"/>
          <w:color w:val="000000"/>
          <w:sz w:val="32"/>
          <w:szCs w:val="32"/>
        </w:rPr>
        <w:t>对</w:t>
      </w:r>
      <w:r>
        <w:rPr>
          <w:rFonts w:hint="eastAsia" w:ascii="仿宋_GB2312" w:eastAsia="仿宋_GB2312"/>
          <w:color w:val="000000"/>
          <w:sz w:val="32"/>
          <w:szCs w:val="32"/>
          <w:lang w:eastAsia="zh-CN"/>
        </w:rPr>
        <w:t>永靖</w:t>
      </w:r>
      <w:r>
        <w:rPr>
          <w:rFonts w:hint="eastAsia" w:ascii="仿宋_GB2312" w:eastAsia="仿宋_GB2312"/>
          <w:color w:val="000000"/>
          <w:sz w:val="32"/>
          <w:szCs w:val="32"/>
        </w:rPr>
        <w:t>县2017年底未脱贫农户（政策兜底户除外）鼓励加大百合种植规模或进行“三变”模式。</w:t>
      </w:r>
    </w:p>
    <w:p>
      <w:pPr>
        <w:spacing w:line="620" w:lineRule="exact"/>
        <w:ind w:firstLine="640"/>
        <w:rPr>
          <w:rFonts w:hint="eastAsia" w:ascii="仿宋" w:hAnsi="仿宋" w:eastAsia="仿宋" w:cs="仿宋"/>
          <w:sz w:val="32"/>
          <w:szCs w:val="32"/>
        </w:rPr>
      </w:pPr>
      <w:r>
        <w:rPr>
          <w:rFonts w:hint="eastAsia" w:ascii="仿宋" w:hAnsi="仿宋" w:eastAsia="仿宋" w:cs="仿宋"/>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建立种球繁育体系，生产优质百合种球。</w:t>
      </w:r>
      <w:r>
        <w:rPr>
          <w:rFonts w:hint="eastAsia" w:ascii="仿宋" w:hAnsi="仿宋" w:eastAsia="仿宋" w:cs="仿宋"/>
          <w:sz w:val="32"/>
          <w:szCs w:val="32"/>
        </w:rPr>
        <w:t>由甘肃刘家峡农业开发集团建立</w:t>
      </w:r>
      <w:r>
        <w:rPr>
          <w:rFonts w:hint="eastAsia" w:ascii="仿宋" w:hAnsi="仿宋" w:eastAsia="仿宋" w:cs="仿宋"/>
          <w:bCs/>
          <w:sz w:val="32"/>
          <w:szCs w:val="32"/>
        </w:rPr>
        <w:t>50</w:t>
      </w:r>
      <w:r>
        <w:rPr>
          <w:rFonts w:hint="eastAsia" w:ascii="仿宋" w:hAnsi="仿宋" w:eastAsia="仿宋" w:cs="仿宋"/>
          <w:sz w:val="32"/>
          <w:szCs w:val="32"/>
        </w:rPr>
        <w:t>亩以上专业化种球繁育基地，健全种球繁育体系，实现种球生产经营规范化、标准化、商业化，引导无病毒、高品质种球繁育。</w:t>
      </w:r>
    </w:p>
    <w:p>
      <w:pPr>
        <w:spacing w:line="620" w:lineRule="exact"/>
        <w:ind w:firstLine="640"/>
        <w:rPr>
          <w:rFonts w:hint="eastAsia" w:ascii="仿宋" w:hAnsi="仿宋" w:eastAsia="仿宋" w:cs="仿宋"/>
          <w:sz w:val="32"/>
          <w:szCs w:val="32"/>
        </w:rPr>
      </w:pPr>
      <w:r>
        <w:rPr>
          <w:rFonts w:hint="eastAsia" w:ascii="仿宋" w:hAnsi="仿宋" w:eastAsia="仿宋" w:cs="仿宋"/>
          <w:bCs/>
          <w:sz w:val="32"/>
          <w:szCs w:val="32"/>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推广高产栽培模式，建设标准化生产基地。</w:t>
      </w:r>
      <w:r>
        <w:rPr>
          <w:rFonts w:hint="eastAsia" w:ascii="仿宋" w:hAnsi="仿宋" w:eastAsia="仿宋" w:cs="仿宋"/>
          <w:sz w:val="32"/>
          <w:szCs w:val="32"/>
        </w:rPr>
        <w:t>主推宽行距大株距栽培模式，株距15-18cm、行距35-40cm，种植密度9000-12000株/亩，</w:t>
      </w:r>
      <w:r>
        <w:rPr>
          <w:rFonts w:hint="eastAsia" w:ascii="仿宋" w:hAnsi="仿宋" w:eastAsia="仿宋" w:cs="仿宋"/>
          <w:kern w:val="1"/>
          <w:sz w:val="32"/>
          <w:szCs w:val="32"/>
        </w:rPr>
        <w:t>按照“五统一”的要求，建设绿色高产高效生产基地，</w:t>
      </w:r>
      <w:r>
        <w:rPr>
          <w:rFonts w:hint="eastAsia" w:ascii="仿宋" w:hAnsi="仿宋" w:eastAsia="仿宋" w:cs="仿宋"/>
          <w:sz w:val="32"/>
          <w:szCs w:val="32"/>
        </w:rPr>
        <w:t>提高经济效益。</w:t>
      </w:r>
    </w:p>
    <w:p>
      <w:pPr>
        <w:spacing w:line="620" w:lineRule="exact"/>
        <w:ind w:firstLine="640"/>
        <w:rPr>
          <w:rFonts w:hint="eastAsia" w:ascii="仿宋" w:hAnsi="仿宋" w:eastAsia="仿宋" w:cs="仿宋"/>
          <w:sz w:val="32"/>
          <w:szCs w:val="32"/>
        </w:rPr>
      </w:pPr>
      <w:r>
        <w:rPr>
          <w:rFonts w:hint="eastAsia" w:ascii="仿宋" w:hAnsi="仿宋" w:eastAsia="仿宋" w:cs="仿宋"/>
          <w:bCs/>
          <w:sz w:val="32"/>
          <w:szCs w:val="32"/>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推广化肥农药减量增效技术，注重绿色发展。</w:t>
      </w:r>
      <w:r>
        <w:rPr>
          <w:rFonts w:hint="eastAsia" w:ascii="仿宋" w:hAnsi="仿宋" w:eastAsia="仿宋" w:cs="仿宋"/>
          <w:sz w:val="32"/>
          <w:szCs w:val="32"/>
        </w:rPr>
        <w:t>加大百合测土配方施肥、绿肥种植、有机肥等技术的示范推广力度，减少百合化肥施用量。全面推广病虫害绿色防控技术，降低化学农药使用量，提高百合综合生产能力和质量安全水平，走绿色、有机道路。</w:t>
      </w:r>
    </w:p>
    <w:p>
      <w:pPr>
        <w:spacing w:line="620" w:lineRule="exact"/>
        <w:ind w:firstLine="640"/>
        <w:rPr>
          <w:rFonts w:hint="eastAsia" w:ascii="仿宋" w:hAnsi="仿宋" w:eastAsia="仿宋" w:cs="仿宋"/>
          <w:sz w:val="32"/>
          <w:szCs w:val="32"/>
        </w:rPr>
      </w:pPr>
      <w:r>
        <w:rPr>
          <w:rFonts w:hint="eastAsia" w:ascii="仿宋" w:hAnsi="仿宋" w:eastAsia="仿宋" w:cs="仿宋"/>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提升保鲜贮藏能力，培育建设知名品牌。</w:t>
      </w:r>
      <w:r>
        <w:rPr>
          <w:rFonts w:hint="eastAsia" w:ascii="仿宋" w:hAnsi="仿宋" w:eastAsia="仿宋" w:cs="仿宋"/>
          <w:sz w:val="32"/>
          <w:szCs w:val="32"/>
        </w:rPr>
        <w:t>加大百合保鲜库建设，实现周年供应、均衡市场、稳定价格。培育百合知名品牌，实现品牌化销售，增加附加值。鼓励龙头企业在大中城市建设百合直营店。发展电子商务，鼓励在网上建设专营店和线下体验店，扩大销售。</w:t>
      </w:r>
    </w:p>
    <w:p>
      <w:pPr>
        <w:spacing w:line="620" w:lineRule="exact"/>
        <w:ind w:firstLine="640"/>
        <w:rPr>
          <w:rFonts w:hint="eastAsia" w:ascii="仿宋" w:hAnsi="仿宋" w:eastAsia="仿宋" w:cs="仿宋"/>
          <w:sz w:val="32"/>
          <w:szCs w:val="32"/>
        </w:rPr>
      </w:pPr>
      <w:r>
        <w:rPr>
          <w:rFonts w:hint="eastAsia" w:ascii="仿宋" w:hAnsi="仿宋" w:eastAsia="仿宋" w:cs="仿宋"/>
          <w:bCs/>
          <w:sz w:val="32"/>
          <w:szCs w:val="32"/>
        </w:rPr>
        <w:t>6</w:t>
      </w:r>
      <w:r>
        <w:rPr>
          <w:rFonts w:hint="eastAsia" w:ascii="仿宋" w:hAnsi="仿宋" w:eastAsia="仿宋" w:cs="仿宋"/>
          <w:b/>
          <w:bCs/>
          <w:sz w:val="32"/>
          <w:szCs w:val="32"/>
          <w:lang w:eastAsia="zh-CN"/>
        </w:rPr>
        <w:t>、</w:t>
      </w:r>
      <w:r>
        <w:rPr>
          <w:rFonts w:hint="eastAsia" w:ascii="仿宋" w:hAnsi="仿宋" w:eastAsia="仿宋" w:cs="仿宋"/>
          <w:b/>
          <w:bCs/>
          <w:sz w:val="32"/>
          <w:szCs w:val="32"/>
        </w:rPr>
        <w:t>培育新型农业经营主体，建设农业产业化联合体。</w:t>
      </w:r>
      <w:r>
        <w:rPr>
          <w:rFonts w:hint="eastAsia" w:ascii="仿宋" w:hAnsi="仿宋" w:eastAsia="仿宋" w:cs="仿宋"/>
          <w:sz w:val="32"/>
          <w:szCs w:val="32"/>
        </w:rPr>
        <w:t>支持龙头企业和百合种植大户、合作社形成关联紧密、分工明确的农业产业化联合体，带动贫困户增收脱贫。鼓励甘肃刘家峡农业开发集团加大产品研发力度，开发多元化产品，提升质量水平，发展贮藏、分级、包装等产地初加工，支持现有百合加工企业提档升级，带动百合产业集聚发展。</w:t>
      </w:r>
    </w:p>
    <w:p>
      <w:pPr>
        <w:tabs>
          <w:tab w:val="left" w:pos="1335"/>
        </w:tabs>
        <w:spacing w:line="600" w:lineRule="exact"/>
        <w:ind w:firstLine="640" w:firstLineChars="200"/>
        <w:rPr>
          <w:rFonts w:ascii="黑体" w:hAnsi="宋体" w:eastAsia="黑体" w:cs="黑体"/>
          <w:color w:val="000000"/>
          <w:kern w:val="0"/>
          <w:sz w:val="32"/>
          <w:szCs w:val="32"/>
        </w:rPr>
      </w:pPr>
      <w:r>
        <w:rPr>
          <w:rFonts w:hint="eastAsia" w:ascii="黑体" w:hAnsi="宋体" w:eastAsia="黑体" w:cs="黑体"/>
          <w:color w:val="000000"/>
          <w:kern w:val="0"/>
          <w:sz w:val="32"/>
          <w:szCs w:val="32"/>
        </w:rPr>
        <w:t>三、产业布局</w:t>
      </w:r>
    </w:p>
    <w:p>
      <w:pPr>
        <w:spacing w:line="600" w:lineRule="exact"/>
        <w:ind w:firstLine="645"/>
        <w:rPr>
          <w:rFonts w:ascii="仿宋_GB2312" w:hAnsi="仿宋_GB2312" w:eastAsia="仿宋_GB2312" w:cs="仿宋_GB2312"/>
          <w:sz w:val="32"/>
          <w:szCs w:val="32"/>
        </w:rPr>
      </w:pPr>
      <w:r>
        <w:rPr>
          <w:rFonts w:hint="eastAsia" w:ascii="楷体_GB2312" w:hAnsi="仿宋_GB2312" w:eastAsia="楷体_GB2312" w:cs="仿宋_GB2312"/>
          <w:snapToGrid w:val="0"/>
          <w:kern w:val="0"/>
          <w:sz w:val="32"/>
          <w:szCs w:val="32"/>
        </w:rPr>
        <w:t>（一）种植布局：</w:t>
      </w:r>
      <w:r>
        <w:rPr>
          <w:rFonts w:hint="eastAsia" w:ascii="仿宋_GB2312" w:hAnsi="仿宋_GB2312" w:eastAsia="仿宋_GB2312" w:cs="仿宋_GB2312"/>
          <w:sz w:val="32"/>
          <w:szCs w:val="32"/>
        </w:rPr>
        <w:t>着力打造永靖县陈井镇仁和村到关山乡石台子村沿线的“百合长廊”，辐射带动公路沿线、重点村扩大百合种植面积。</w:t>
      </w:r>
    </w:p>
    <w:p>
      <w:pPr>
        <w:spacing w:line="600" w:lineRule="exact"/>
        <w:ind w:firstLine="645"/>
        <w:rPr>
          <w:rFonts w:ascii="仿宋_GB2312" w:hAnsi="仿宋_GB2312" w:eastAsia="仿宋_GB2312" w:cs="仿宋_GB2312"/>
          <w:bCs/>
          <w:color w:val="000000"/>
          <w:kern w:val="0"/>
          <w:sz w:val="32"/>
          <w:szCs w:val="32"/>
        </w:rPr>
      </w:pPr>
      <w:r>
        <w:rPr>
          <w:rFonts w:hint="eastAsia" w:ascii="楷体_GB2312" w:hAnsi="仿宋_GB2312" w:eastAsia="楷体_GB2312" w:cs="仿宋_GB2312"/>
          <w:snapToGrid w:val="0"/>
          <w:kern w:val="0"/>
          <w:sz w:val="32"/>
          <w:szCs w:val="32"/>
        </w:rPr>
        <w:t>（二）加工布局：</w:t>
      </w:r>
      <w:r>
        <w:rPr>
          <w:rFonts w:hint="eastAsia" w:ascii="仿宋_GB2312" w:hAnsi="仿宋_GB2312" w:eastAsia="仿宋_GB2312" w:cs="仿宋_GB2312"/>
          <w:kern w:val="0"/>
          <w:sz w:val="32"/>
          <w:szCs w:val="32"/>
        </w:rPr>
        <w:t>在永靖县扶持培育</w:t>
      </w:r>
      <w:r>
        <w:rPr>
          <w:rFonts w:hint="eastAsia" w:ascii="仿宋_GB2312" w:hAnsi="仿宋_GB2312" w:eastAsia="仿宋_GB2312" w:cs="仿宋_GB2312"/>
          <w:sz w:val="32"/>
          <w:szCs w:val="32"/>
        </w:rPr>
        <w:t>百合加工龙头企业</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家</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鼓励企业积极研制开发百合饮料、百合干、百合粉等具有高科技、高附加值的深加工产品，</w:t>
      </w:r>
      <w:r>
        <w:rPr>
          <w:rFonts w:hint="eastAsia" w:ascii="仿宋_GB2312" w:hAnsi="仿宋_GB2312" w:eastAsia="仿宋_GB2312" w:cs="仿宋_GB2312"/>
          <w:bCs/>
          <w:color w:val="000000"/>
          <w:kern w:val="0"/>
          <w:sz w:val="32"/>
          <w:szCs w:val="32"/>
        </w:rPr>
        <w:t>到</w:t>
      </w:r>
      <w:r>
        <w:rPr>
          <w:rFonts w:ascii="仿宋_GB2312" w:hAnsi="仿宋_GB2312" w:eastAsia="仿宋_GB2312" w:cs="仿宋_GB2312"/>
          <w:bCs/>
          <w:color w:val="000000"/>
          <w:kern w:val="0"/>
          <w:sz w:val="32"/>
          <w:szCs w:val="32"/>
        </w:rPr>
        <w:t>2020</w:t>
      </w:r>
      <w:r>
        <w:rPr>
          <w:rFonts w:hint="eastAsia" w:ascii="仿宋_GB2312" w:hAnsi="仿宋_GB2312" w:eastAsia="仿宋_GB2312" w:cs="仿宋_GB2312"/>
          <w:bCs/>
          <w:color w:val="000000"/>
          <w:kern w:val="0"/>
          <w:sz w:val="32"/>
          <w:szCs w:val="32"/>
        </w:rPr>
        <w:t>年底，力争全部实现深加工。</w:t>
      </w:r>
    </w:p>
    <w:p>
      <w:pPr>
        <w:spacing w:line="600" w:lineRule="exact"/>
        <w:ind w:firstLine="645"/>
        <w:rPr>
          <w:rFonts w:ascii="仿宋_GB2312" w:hAnsi="仿宋_GB2312" w:eastAsia="仿宋_GB2312" w:cs="仿宋_GB2312"/>
          <w:kern w:val="0"/>
          <w:sz w:val="32"/>
          <w:szCs w:val="32"/>
        </w:rPr>
      </w:pPr>
      <w:r>
        <w:rPr>
          <w:rFonts w:hint="eastAsia" w:ascii="楷体_GB2312" w:hAnsi="仿宋_GB2312" w:eastAsia="楷体_GB2312" w:cs="仿宋_GB2312"/>
          <w:snapToGrid w:val="0"/>
          <w:kern w:val="0"/>
          <w:sz w:val="32"/>
          <w:szCs w:val="32"/>
        </w:rPr>
        <w:t>（三）市场布局：</w:t>
      </w:r>
      <w:r>
        <w:rPr>
          <w:rFonts w:hint="eastAsia" w:ascii="仿宋_GB2312" w:hAnsi="仿宋_GB2312" w:eastAsia="仿宋_GB2312" w:cs="仿宋_GB2312"/>
          <w:snapToGrid w:val="0"/>
          <w:kern w:val="0"/>
          <w:sz w:val="32"/>
          <w:szCs w:val="32"/>
        </w:rPr>
        <w:t>充分发挥龙头企业、协会、专业合作社的</w:t>
      </w:r>
      <w:r>
        <w:rPr>
          <w:rFonts w:hint="eastAsia" w:ascii="仿宋_GB2312" w:hAnsi="仿宋_GB2312" w:eastAsia="仿宋_GB2312" w:cs="仿宋_GB2312"/>
          <w:kern w:val="0"/>
          <w:sz w:val="32"/>
          <w:szCs w:val="32"/>
        </w:rPr>
        <w:t>作用，积极开拓市场，大力开发外埠市场，探索直销和专场等多种销售形式，提高兰州百合的市场竞争力。打造“互联网＋农业”模式，将百合销售、采购、定价、结算、融资等供应链上各环节由“线下”搬到“线上”。鼓励龙头企业加入大型连锁超市，实行定点销售。</w:t>
      </w:r>
    </w:p>
    <w:p>
      <w:pPr>
        <w:spacing w:line="600" w:lineRule="exact"/>
        <w:ind w:firstLine="645"/>
        <w:rPr>
          <w:rFonts w:ascii="仿宋_GB2312" w:hAnsi="宋体" w:eastAsia="仿宋_GB2312" w:cs="楷体_GB2312"/>
          <w:sz w:val="32"/>
          <w:szCs w:val="32"/>
        </w:rPr>
      </w:pPr>
      <w:r>
        <w:rPr>
          <w:rFonts w:hint="eastAsia" w:ascii="楷体_GB2312" w:hAnsi="仿宋_GB2312" w:eastAsia="楷体_GB2312" w:cs="仿宋_GB2312"/>
          <w:b/>
          <w:kern w:val="0"/>
          <w:sz w:val="32"/>
          <w:szCs w:val="32"/>
        </w:rPr>
        <w:t>（四）文化旅游创意布局：</w:t>
      </w:r>
      <w:r>
        <w:rPr>
          <w:rFonts w:hint="eastAsia" w:ascii="仿宋_GB2312" w:hAnsi="仿宋_GB2312" w:eastAsia="仿宋_GB2312" w:cs="仿宋_GB2312"/>
          <w:kern w:val="0"/>
          <w:sz w:val="32"/>
          <w:szCs w:val="32"/>
        </w:rPr>
        <w:t>扶持壮大百合花旅游产业，在永靖县抱龙山凤凰岭滑雪场计划建立百合种植基地</w:t>
      </w:r>
      <w:r>
        <w:rPr>
          <w:rFonts w:ascii="仿宋_GB2312" w:hAnsi="仿宋_GB2312" w:eastAsia="仿宋_GB2312" w:cs="仿宋_GB2312"/>
          <w:kern w:val="0"/>
          <w:sz w:val="32"/>
          <w:szCs w:val="32"/>
        </w:rPr>
        <w:t>1000</w:t>
      </w:r>
      <w:r>
        <w:rPr>
          <w:rFonts w:hint="eastAsia" w:ascii="仿宋_GB2312" w:hAnsi="仿宋_GB2312" w:eastAsia="仿宋_GB2312" w:cs="仿宋_GB2312"/>
          <w:kern w:val="0"/>
          <w:sz w:val="32"/>
          <w:szCs w:val="32"/>
        </w:rPr>
        <w:t>亩，同时培育百合花种球繁育基地、鲜切花观赏基地及百合花科普教育基地等，努力打造成集花卉生产、采摘、观赏、科普教育为一体的生态旅游区</w:t>
      </w:r>
      <w:r>
        <w:rPr>
          <w:rFonts w:hint="eastAsia" w:ascii="仿宋_GB2312" w:hAnsi="仿宋_GB2312" w:eastAsia="仿宋_GB2312" w:cs="仿宋_GB2312"/>
          <w:sz w:val="32"/>
          <w:szCs w:val="32"/>
        </w:rPr>
        <w:t>。</w:t>
      </w:r>
    </w:p>
    <w:p>
      <w:pPr>
        <w:pStyle w:val="13"/>
        <w:widowControl w:val="0"/>
        <w:tabs>
          <w:tab w:val="left" w:pos="360"/>
        </w:tabs>
        <w:spacing w:before="0" w:beforeAutospacing="0" w:after="0" w:afterAutospacing="0" w:line="600" w:lineRule="exact"/>
        <w:ind w:firstLine="640" w:firstLineChars="200"/>
        <w:contextualSpacing/>
        <w:jc w:val="both"/>
        <w:rPr>
          <w:rFonts w:ascii="黑体" w:hAnsi="黑体" w:eastAsia="黑体" w:cs="楷体_GB2312"/>
          <w:sz w:val="32"/>
          <w:szCs w:val="32"/>
        </w:rPr>
      </w:pPr>
      <w:r>
        <w:rPr>
          <w:rFonts w:hint="eastAsia" w:ascii="黑体" w:hAnsi="黑体" w:eastAsia="黑体" w:cs="楷体_GB2312"/>
          <w:sz w:val="32"/>
          <w:szCs w:val="32"/>
        </w:rPr>
        <w:t>四、扶持重点和方式</w:t>
      </w:r>
    </w:p>
    <w:p>
      <w:pPr>
        <w:pStyle w:val="13"/>
        <w:widowControl w:val="0"/>
        <w:spacing w:before="0" w:beforeAutospacing="0" w:after="0" w:afterAutospacing="0" w:line="600" w:lineRule="exact"/>
        <w:ind w:firstLine="627" w:firstLineChars="196"/>
        <w:jc w:val="both"/>
        <w:rPr>
          <w:rStyle w:val="6"/>
          <w:rFonts w:ascii="楷体_GB2312" w:eastAsia="楷体_GB2312" w:cs="宋体"/>
          <w:b w:val="0"/>
          <w:color w:val="000000"/>
          <w:sz w:val="32"/>
          <w:szCs w:val="32"/>
        </w:rPr>
      </w:pPr>
      <w:r>
        <w:rPr>
          <w:rFonts w:hint="eastAsia" w:ascii="楷体_GB2312" w:eastAsia="楷体_GB2312" w:cs="Times New Roman"/>
          <w:bCs/>
          <w:kern w:val="2"/>
          <w:sz w:val="32"/>
          <w:szCs w:val="32"/>
        </w:rPr>
        <w:t>（一）</w:t>
      </w:r>
      <w:r>
        <w:rPr>
          <w:rStyle w:val="6"/>
          <w:rFonts w:hint="eastAsia" w:ascii="楷体_GB2312" w:eastAsia="楷体_GB2312" w:cs="宋体"/>
          <w:b w:val="0"/>
          <w:color w:val="000000"/>
          <w:sz w:val="32"/>
          <w:szCs w:val="32"/>
        </w:rPr>
        <w:t>百合脱毒种球繁育补助资金，采取直接补助的方式进行扶持。</w:t>
      </w:r>
    </w:p>
    <w:p>
      <w:pPr>
        <w:pStyle w:val="13"/>
        <w:widowControl w:val="0"/>
        <w:spacing w:before="0" w:beforeAutospacing="0" w:after="0" w:afterAutospacing="0" w:line="600" w:lineRule="exact"/>
        <w:ind w:firstLine="803" w:firstLineChars="250"/>
        <w:jc w:val="both"/>
        <w:rPr>
          <w:rStyle w:val="6"/>
          <w:rFonts w:ascii="Times New Roman" w:eastAsia="仿宋_GB2312" w:cs="宋体"/>
          <w:b w:val="0"/>
          <w:color w:val="000000"/>
          <w:sz w:val="32"/>
          <w:szCs w:val="32"/>
        </w:rPr>
      </w:pPr>
      <w:r>
        <w:rPr>
          <w:rStyle w:val="6"/>
          <w:rFonts w:ascii="仿宋_GB2312" w:eastAsia="仿宋_GB2312" w:cs="宋体"/>
          <w:color w:val="000000"/>
          <w:sz w:val="32"/>
          <w:szCs w:val="32"/>
        </w:rPr>
        <w:t>1</w:t>
      </w:r>
      <w:r>
        <w:rPr>
          <w:rStyle w:val="6"/>
          <w:rFonts w:hint="eastAsia" w:ascii="仿宋_GB2312" w:eastAsia="仿宋_GB2312" w:cs="宋体"/>
          <w:color w:val="000000"/>
          <w:sz w:val="32"/>
          <w:szCs w:val="32"/>
        </w:rPr>
        <w:t>、</w:t>
      </w:r>
      <w:r>
        <w:rPr>
          <w:rStyle w:val="6"/>
          <w:rFonts w:hint="eastAsia" w:ascii="Times New Roman" w:eastAsia="仿宋_GB2312" w:cs="宋体"/>
          <w:color w:val="000000"/>
          <w:sz w:val="32"/>
          <w:szCs w:val="32"/>
        </w:rPr>
        <w:t>百合原原种生产补助。</w:t>
      </w:r>
      <w:r>
        <w:rPr>
          <w:rStyle w:val="6"/>
          <w:rFonts w:hint="eastAsia" w:ascii="Times New Roman" w:eastAsia="仿宋_GB2312" w:cs="宋体"/>
          <w:b w:val="0"/>
          <w:color w:val="000000"/>
          <w:sz w:val="32"/>
          <w:szCs w:val="32"/>
        </w:rPr>
        <w:t>对从事百合原原种生产的企业，按建成的繁育原原种温室面积大小给予以奖代补。</w:t>
      </w:r>
    </w:p>
    <w:p>
      <w:pPr>
        <w:spacing w:line="600" w:lineRule="exact"/>
        <w:ind w:firstLine="793" w:firstLineChars="247"/>
        <w:rPr>
          <w:rFonts w:eastAsia="仿宋_GB2312"/>
          <w:sz w:val="32"/>
          <w:szCs w:val="32"/>
        </w:rPr>
      </w:pPr>
      <w:r>
        <w:rPr>
          <w:rStyle w:val="6"/>
          <w:rFonts w:ascii="仿宋_GB2312" w:eastAsia="仿宋_GB2312"/>
          <w:color w:val="000000"/>
          <w:sz w:val="32"/>
          <w:szCs w:val="32"/>
        </w:rPr>
        <w:t>2</w:t>
      </w:r>
      <w:r>
        <w:rPr>
          <w:rStyle w:val="6"/>
          <w:rFonts w:hint="eastAsia" w:ascii="仿宋_GB2312" w:eastAsia="仿宋_GB2312"/>
          <w:color w:val="000000"/>
          <w:sz w:val="32"/>
          <w:szCs w:val="32"/>
        </w:rPr>
        <w:t>、</w:t>
      </w:r>
      <w:r>
        <w:rPr>
          <w:rStyle w:val="6"/>
          <w:rFonts w:hint="eastAsia" w:eastAsia="仿宋_GB2312"/>
          <w:color w:val="000000"/>
          <w:sz w:val="32"/>
          <w:szCs w:val="32"/>
        </w:rPr>
        <w:t>百合一级种生产补助。</w:t>
      </w:r>
      <w:r>
        <w:rPr>
          <w:rStyle w:val="6"/>
          <w:rFonts w:hint="eastAsia" w:eastAsia="仿宋_GB2312"/>
          <w:b w:val="0"/>
          <w:color w:val="000000"/>
          <w:sz w:val="32"/>
          <w:szCs w:val="32"/>
        </w:rPr>
        <w:t>支持龙头企业和合作社生产一级种，每亩补助</w:t>
      </w:r>
      <w:r>
        <w:rPr>
          <w:rStyle w:val="6"/>
          <w:rFonts w:ascii="仿宋_GB2312" w:eastAsia="仿宋_GB2312"/>
          <w:b w:val="0"/>
          <w:color w:val="000000"/>
          <w:sz w:val="32"/>
          <w:szCs w:val="32"/>
        </w:rPr>
        <w:t>800</w:t>
      </w:r>
      <w:r>
        <w:rPr>
          <w:rStyle w:val="6"/>
          <w:rFonts w:hint="eastAsia" w:ascii="仿宋_GB2312" w:eastAsia="仿宋_GB2312"/>
          <w:b w:val="0"/>
          <w:color w:val="000000"/>
          <w:sz w:val="32"/>
          <w:szCs w:val="32"/>
        </w:rPr>
        <w:t>元</w:t>
      </w:r>
      <w:r>
        <w:rPr>
          <w:rStyle w:val="6"/>
          <w:rFonts w:hint="eastAsia" w:eastAsia="仿宋_GB2312"/>
          <w:b w:val="0"/>
          <w:color w:val="000000"/>
          <w:sz w:val="32"/>
          <w:szCs w:val="32"/>
        </w:rPr>
        <w:t>。</w:t>
      </w:r>
      <w:r>
        <w:rPr>
          <w:rFonts w:hint="eastAsia" w:eastAsia="仿宋_GB2312"/>
          <w:sz w:val="32"/>
          <w:szCs w:val="32"/>
        </w:rPr>
        <w:t>采用公开招标的方式择优确定育种单位，所育种球必须是当地适宜、市场畅销品种。</w:t>
      </w:r>
    </w:p>
    <w:p>
      <w:pPr>
        <w:pStyle w:val="13"/>
        <w:widowControl w:val="0"/>
        <w:spacing w:before="0" w:beforeAutospacing="0" w:after="0" w:afterAutospacing="0" w:line="600" w:lineRule="exact"/>
        <w:ind w:firstLine="640" w:firstLineChars="200"/>
        <w:jc w:val="both"/>
        <w:rPr>
          <w:rStyle w:val="6"/>
          <w:rFonts w:ascii="楷体_GB2312" w:eastAsia="楷体_GB2312" w:cs="宋体"/>
          <w:b w:val="0"/>
          <w:color w:val="000000"/>
          <w:sz w:val="32"/>
          <w:szCs w:val="32"/>
        </w:rPr>
      </w:pPr>
      <w:r>
        <w:rPr>
          <w:rFonts w:hint="eastAsia" w:ascii="楷体_GB2312" w:eastAsia="楷体_GB2312" w:cs="Times New Roman"/>
          <w:bCs/>
          <w:kern w:val="2"/>
          <w:sz w:val="32"/>
          <w:szCs w:val="32"/>
        </w:rPr>
        <w:t>（二）</w:t>
      </w:r>
      <w:r>
        <w:rPr>
          <w:rStyle w:val="6"/>
          <w:rFonts w:hint="eastAsia" w:ascii="楷体_GB2312" w:eastAsia="楷体_GB2312" w:cs="宋体"/>
          <w:b w:val="0"/>
          <w:color w:val="000000"/>
          <w:sz w:val="32"/>
          <w:szCs w:val="32"/>
        </w:rPr>
        <w:t>百合标准化生产补助资金，采取先建后补的方式进行扶持。</w:t>
      </w:r>
    </w:p>
    <w:p>
      <w:pPr>
        <w:pStyle w:val="13"/>
        <w:widowControl w:val="0"/>
        <w:spacing w:before="0" w:beforeAutospacing="0" w:after="0" w:afterAutospacing="0" w:line="600" w:lineRule="exact"/>
        <w:ind w:firstLine="640" w:firstLineChars="200"/>
        <w:jc w:val="both"/>
        <w:rPr>
          <w:rStyle w:val="6"/>
          <w:rFonts w:ascii="仿宋_GB2312" w:eastAsia="仿宋_GB2312" w:cs="宋体"/>
          <w:b w:val="0"/>
          <w:color w:val="000000"/>
          <w:sz w:val="32"/>
          <w:szCs w:val="32"/>
        </w:rPr>
      </w:pPr>
      <w:r>
        <w:rPr>
          <w:rFonts w:hint="eastAsia" w:ascii="仿宋_GB2312" w:eastAsia="仿宋_GB2312" w:cs="Times New Roman"/>
          <w:sz w:val="32"/>
          <w:szCs w:val="32"/>
        </w:rPr>
        <w:t>按照“统一种植品种、统一种球繁育、统一栽培规程、统一技术指导”的要求，鼓励龙头企业和合作社建设百合标</w:t>
      </w:r>
      <w:r>
        <w:rPr>
          <w:rFonts w:hint="eastAsia" w:ascii="Times New Roman" w:eastAsia="仿宋_GB2312" w:cs="Times New Roman"/>
          <w:sz w:val="32"/>
          <w:szCs w:val="32"/>
        </w:rPr>
        <w:t>准化生产示范基地</w:t>
      </w:r>
      <w:r>
        <w:rPr>
          <w:rStyle w:val="6"/>
          <w:rFonts w:hint="eastAsia" w:ascii="Times New Roman" w:eastAsia="仿宋_GB2312" w:cs="宋体"/>
          <w:b w:val="0"/>
          <w:color w:val="000000"/>
          <w:sz w:val="32"/>
          <w:szCs w:val="32"/>
        </w:rPr>
        <w:t>，</w:t>
      </w:r>
      <w:r>
        <w:rPr>
          <w:rFonts w:hint="eastAsia" w:ascii="Times New Roman" w:eastAsia="仿宋_GB2312" w:cs="Times New Roman"/>
          <w:sz w:val="32"/>
          <w:szCs w:val="32"/>
        </w:rPr>
        <w:t>集中连片</w:t>
      </w:r>
      <w:r>
        <w:rPr>
          <w:rFonts w:ascii="Times New Roman" w:eastAsia="仿宋_GB2312" w:cs="Times New Roman"/>
          <w:sz w:val="32"/>
          <w:szCs w:val="32"/>
        </w:rPr>
        <w:t>500</w:t>
      </w:r>
      <w:r>
        <w:rPr>
          <w:rFonts w:hint="eastAsia" w:ascii="Times New Roman" w:eastAsia="仿宋_GB2312" w:cs="Times New Roman"/>
          <w:sz w:val="32"/>
          <w:szCs w:val="32"/>
        </w:rPr>
        <w:t>亩以上的</w:t>
      </w:r>
      <w:r>
        <w:rPr>
          <w:rStyle w:val="6"/>
          <w:rFonts w:hint="eastAsia" w:ascii="Times New Roman" w:eastAsia="仿宋_GB2312" w:cs="宋体"/>
          <w:b w:val="0"/>
          <w:color w:val="000000"/>
          <w:sz w:val="32"/>
          <w:szCs w:val="32"/>
        </w:rPr>
        <w:t>每亩补助</w:t>
      </w:r>
      <w:r>
        <w:rPr>
          <w:rStyle w:val="6"/>
          <w:rFonts w:ascii="Times New Roman" w:eastAsia="仿宋_GB2312" w:cs="宋体"/>
          <w:b w:val="0"/>
          <w:color w:val="000000"/>
          <w:sz w:val="32"/>
          <w:szCs w:val="32"/>
        </w:rPr>
        <w:t>300</w:t>
      </w:r>
      <w:r>
        <w:rPr>
          <w:rStyle w:val="6"/>
          <w:rFonts w:hint="eastAsia" w:ascii="Times New Roman" w:eastAsia="仿宋_GB2312" w:cs="宋体"/>
          <w:b w:val="0"/>
          <w:color w:val="000000"/>
          <w:sz w:val="32"/>
          <w:szCs w:val="32"/>
        </w:rPr>
        <w:t>元</w:t>
      </w:r>
      <w:r>
        <w:rPr>
          <w:rStyle w:val="6"/>
          <w:rFonts w:hint="eastAsia" w:ascii="仿宋_GB2312" w:eastAsia="仿宋_GB2312" w:cs="宋体"/>
          <w:b w:val="0"/>
          <w:color w:val="000000"/>
          <w:sz w:val="32"/>
          <w:szCs w:val="32"/>
        </w:rPr>
        <w:t>。</w:t>
      </w:r>
      <w:r>
        <w:rPr>
          <w:rFonts w:hint="eastAsia" w:ascii="仿宋_GB2312" w:eastAsia="仿宋_GB2312" w:cs="Times New Roman"/>
          <w:sz w:val="32"/>
          <w:szCs w:val="32"/>
        </w:rPr>
        <w:t>补助资金由省上按新增面积下达到县，由县落实到生产单位。</w:t>
      </w:r>
    </w:p>
    <w:p>
      <w:pPr>
        <w:pStyle w:val="13"/>
        <w:widowControl w:val="0"/>
        <w:spacing w:before="0" w:beforeAutospacing="0" w:after="0" w:afterAutospacing="0" w:line="600" w:lineRule="exact"/>
        <w:ind w:firstLine="800" w:firstLineChars="250"/>
        <w:jc w:val="both"/>
        <w:rPr>
          <w:rStyle w:val="6"/>
          <w:rFonts w:ascii="仿宋_GB2312" w:eastAsia="仿宋_GB2312" w:cs="宋体"/>
          <w:color w:val="000000"/>
          <w:sz w:val="32"/>
          <w:szCs w:val="32"/>
        </w:rPr>
      </w:pPr>
      <w:r>
        <w:rPr>
          <w:rFonts w:ascii="仿宋_GB2312" w:eastAsia="仿宋_GB2312" w:cs="Times New Roman"/>
          <w:bCs/>
          <w:kern w:val="2"/>
          <w:sz w:val="32"/>
          <w:szCs w:val="32"/>
        </w:rPr>
        <w:t>3</w:t>
      </w:r>
      <w:r>
        <w:rPr>
          <w:rFonts w:hint="eastAsia" w:ascii="仿宋_GB2312" w:eastAsia="仿宋_GB2312" w:cs="Times New Roman"/>
          <w:bCs/>
          <w:kern w:val="2"/>
          <w:sz w:val="32"/>
          <w:szCs w:val="32"/>
        </w:rPr>
        <w:t>、</w:t>
      </w:r>
      <w:r>
        <w:rPr>
          <w:rStyle w:val="6"/>
          <w:rFonts w:hint="eastAsia" w:ascii="仿宋_GB2312" w:eastAsia="仿宋_GB2312" w:cs="宋体"/>
          <w:color w:val="000000"/>
          <w:sz w:val="32"/>
          <w:szCs w:val="32"/>
        </w:rPr>
        <w:t>百合加工业发展和气调保鲜库建设补助资金，采取以奖代补的方式进行扶持。</w:t>
      </w:r>
    </w:p>
    <w:p>
      <w:pPr>
        <w:spacing w:line="600" w:lineRule="exact"/>
        <w:ind w:firstLine="640" w:firstLineChars="200"/>
        <w:rPr>
          <w:rStyle w:val="6"/>
          <w:rFonts w:ascii="仿宋_GB2312" w:eastAsia="仿宋_GB2312"/>
          <w:b w:val="0"/>
          <w:color w:val="000000"/>
          <w:sz w:val="32"/>
          <w:szCs w:val="32"/>
        </w:rPr>
      </w:pPr>
      <w:r>
        <w:rPr>
          <w:rStyle w:val="6"/>
          <w:rFonts w:hint="eastAsia" w:ascii="仿宋_GB2312" w:eastAsia="仿宋_GB2312"/>
          <w:b w:val="0"/>
          <w:color w:val="000000"/>
          <w:sz w:val="32"/>
          <w:szCs w:val="32"/>
        </w:rPr>
        <w:t>对龙头企业购买加工设备，实施工艺改造，扩大生产规模，固定资产贷款</w:t>
      </w:r>
      <w:r>
        <w:rPr>
          <w:rStyle w:val="6"/>
          <w:rFonts w:ascii="仿宋_GB2312" w:eastAsia="仿宋_GB2312"/>
          <w:b w:val="0"/>
          <w:color w:val="000000"/>
          <w:sz w:val="32"/>
          <w:szCs w:val="32"/>
        </w:rPr>
        <w:t>1000</w:t>
      </w:r>
      <w:r>
        <w:rPr>
          <w:rStyle w:val="6"/>
          <w:rFonts w:hint="eastAsia" w:ascii="仿宋_GB2312" w:eastAsia="仿宋_GB2312"/>
          <w:b w:val="0"/>
          <w:color w:val="000000"/>
          <w:sz w:val="32"/>
          <w:szCs w:val="32"/>
        </w:rPr>
        <w:t>万元以上的给予贴息扶持。</w:t>
      </w:r>
      <w:r>
        <w:rPr>
          <w:rFonts w:hint="eastAsia" w:ascii="仿宋_GB2312" w:eastAsia="仿宋_GB2312"/>
          <w:sz w:val="32"/>
          <w:szCs w:val="32"/>
        </w:rPr>
        <w:t>对精深加工（营销）企业按加工量（销售量）给予以奖代补扶持。对</w:t>
      </w:r>
      <w:r>
        <w:rPr>
          <w:rStyle w:val="6"/>
          <w:rFonts w:hint="eastAsia" w:ascii="仿宋_GB2312" w:eastAsia="仿宋_GB2312"/>
          <w:b w:val="0"/>
          <w:color w:val="000000"/>
          <w:sz w:val="32"/>
          <w:szCs w:val="32"/>
        </w:rPr>
        <w:t>龙头企业或合作社新建库容在</w:t>
      </w:r>
      <w:r>
        <w:rPr>
          <w:rStyle w:val="6"/>
          <w:rFonts w:ascii="仿宋_GB2312" w:eastAsia="仿宋_GB2312"/>
          <w:b w:val="0"/>
          <w:color w:val="000000"/>
          <w:sz w:val="32"/>
          <w:szCs w:val="32"/>
        </w:rPr>
        <w:t>1500</w:t>
      </w:r>
      <w:r>
        <w:rPr>
          <w:rStyle w:val="6"/>
          <w:rFonts w:hint="eastAsia" w:ascii="仿宋_GB2312" w:eastAsia="仿宋_GB2312"/>
          <w:b w:val="0"/>
          <w:color w:val="000000"/>
          <w:sz w:val="32"/>
          <w:szCs w:val="32"/>
        </w:rPr>
        <w:t>立方米以上、当年能投入使用的百合气调保鲜库，按照库容给予以奖代补扶持。</w:t>
      </w:r>
    </w:p>
    <w:p>
      <w:pPr>
        <w:pStyle w:val="13"/>
        <w:widowControl w:val="0"/>
        <w:spacing w:before="0" w:beforeAutospacing="0" w:after="0" w:afterAutospacing="0" w:line="600" w:lineRule="exact"/>
        <w:ind w:firstLine="640" w:firstLineChars="200"/>
        <w:contextualSpacing/>
        <w:jc w:val="both"/>
        <w:rPr>
          <w:rStyle w:val="6"/>
          <w:rFonts w:ascii="黑体" w:hAnsi="黑体" w:eastAsia="黑体" w:cs="宋体"/>
          <w:b w:val="0"/>
          <w:sz w:val="32"/>
          <w:szCs w:val="32"/>
        </w:rPr>
      </w:pPr>
      <w:r>
        <w:rPr>
          <w:rStyle w:val="6"/>
          <w:rFonts w:hint="eastAsia" w:ascii="黑体" w:hAnsi="黑体" w:eastAsia="黑体" w:cs="宋体"/>
          <w:b w:val="0"/>
          <w:bCs w:val="0"/>
          <w:color w:val="000000"/>
          <w:sz w:val="32"/>
          <w:szCs w:val="32"/>
        </w:rPr>
        <w:t>五、保障措施</w:t>
      </w:r>
    </w:p>
    <w:p>
      <w:pPr>
        <w:adjustRightInd w:val="0"/>
        <w:snapToGrid w:val="0"/>
        <w:spacing w:line="600" w:lineRule="exact"/>
        <w:ind w:firstLine="640" w:firstLineChars="200"/>
        <w:rPr>
          <w:rFonts w:ascii="仿宋_GB2312" w:eastAsia="仿宋_GB2312"/>
          <w:sz w:val="32"/>
          <w:szCs w:val="32"/>
        </w:rPr>
      </w:pPr>
      <w:r>
        <w:rPr>
          <w:rFonts w:hint="eastAsia" w:ascii="楷体_GB2312" w:eastAsia="楷体_GB2312"/>
          <w:sz w:val="32"/>
          <w:szCs w:val="32"/>
        </w:rPr>
        <w:t>（一）加强组织领导，强化行政推动。</w:t>
      </w:r>
      <w:r>
        <w:rPr>
          <w:rFonts w:hint="eastAsia" w:ascii="仿宋_GB2312" w:eastAsia="仿宋_GB2312"/>
          <w:sz w:val="32"/>
          <w:szCs w:val="32"/>
        </w:rPr>
        <w:t>永靖县要成立由分管领导任组长，县直相关部门和相关乡镇政府负责人为成员的百合产业发展领导小组，领导小组下设办公室，负责日常工作，办公室设在永靖县农牧局。县上要制定具体实施方案，将百合产业发展规划和扶持办法精准到乡镇、村、户。要把百合产业发展纳入经济社会发展考核体系，加强督促检查，确保任务落实到实处。</w:t>
      </w:r>
    </w:p>
    <w:p>
      <w:pPr>
        <w:spacing w:line="600" w:lineRule="exact"/>
        <w:ind w:firstLine="640" w:firstLineChars="200"/>
        <w:rPr>
          <w:rFonts w:ascii="仿宋_GB2312" w:eastAsia="仿宋_GB2312"/>
          <w:color w:val="000000"/>
          <w:sz w:val="32"/>
          <w:szCs w:val="32"/>
        </w:rPr>
      </w:pPr>
      <w:r>
        <w:rPr>
          <w:rFonts w:hint="eastAsia" w:ascii="楷体_GB2312" w:eastAsia="楷体_GB2312"/>
          <w:sz w:val="32"/>
          <w:szCs w:val="32"/>
        </w:rPr>
        <w:t>（二）完善扶持政策，增加资金投入。</w:t>
      </w:r>
      <w:r>
        <w:rPr>
          <w:rFonts w:hint="eastAsia" w:ascii="仿宋_GB2312" w:eastAsia="仿宋_GB2312"/>
          <w:color w:val="000000"/>
          <w:sz w:val="32"/>
          <w:szCs w:val="32"/>
        </w:rPr>
        <w:t>完善金融部门扶持百合发展的相关政策，加大对龙头企业、农合组织的信贷支持力度，以小额贷款的方式，扶持龙头企业、合作社和种植大户大力发展百合产业。重点加强对基地建设、粗加工、市场体系，以及种球繁育、病虫害综合防治等方面的专项资金支持，整体提升全州产业的综合实力。积极探索开展百合政策性保险，增强农民抵御自然风险和市场风险的能力。</w:t>
      </w:r>
    </w:p>
    <w:p>
      <w:pPr>
        <w:spacing w:line="600" w:lineRule="exact"/>
        <w:ind w:firstLine="640" w:firstLineChars="200"/>
        <w:rPr>
          <w:rFonts w:ascii="仿宋_GB2312" w:eastAsia="仿宋_GB2312"/>
          <w:color w:val="000000"/>
          <w:sz w:val="32"/>
          <w:szCs w:val="32"/>
        </w:rPr>
      </w:pPr>
      <w:r>
        <w:rPr>
          <w:rFonts w:hint="eastAsia" w:ascii="楷体_GB2312" w:eastAsia="楷体_GB2312"/>
          <w:sz w:val="32"/>
          <w:szCs w:val="32"/>
        </w:rPr>
        <w:t>（三）完善投融资机制，增强发展后劲。</w:t>
      </w:r>
      <w:r>
        <w:rPr>
          <w:rFonts w:hint="eastAsia" w:ascii="仿宋_GB2312" w:eastAsia="仿宋_GB2312"/>
          <w:color w:val="000000"/>
          <w:sz w:val="32"/>
          <w:szCs w:val="32"/>
        </w:rPr>
        <w:t>充分利用省、州、县投融资平台，积极吸引社会资本投入百合产业发展。将百合产业纳入永靖县刘家峡农牧集团经营范围。通过组建刘家峡农牧集团，扩大融资规模，拓宽融资渠道，有效缓解百合产业发展融资难问题，以增强发展后劲。</w:t>
      </w:r>
    </w:p>
    <w:p>
      <w:pPr>
        <w:spacing w:line="600" w:lineRule="exact"/>
        <w:ind w:firstLine="640" w:firstLineChars="200"/>
        <w:rPr>
          <w:rFonts w:ascii="仿宋_GB2312" w:eastAsia="仿宋_GB2312"/>
          <w:color w:val="000000"/>
          <w:sz w:val="32"/>
          <w:szCs w:val="32"/>
        </w:rPr>
      </w:pPr>
      <w:r>
        <w:rPr>
          <w:rFonts w:hint="eastAsia" w:ascii="楷体_GB2312" w:eastAsia="楷体_GB2312"/>
          <w:sz w:val="32"/>
          <w:szCs w:val="32"/>
        </w:rPr>
        <w:t>（四）强化宣传推介，打造特色品牌。</w:t>
      </w:r>
      <w:r>
        <w:rPr>
          <w:rFonts w:hint="eastAsia" w:ascii="仿宋_GB2312" w:eastAsia="仿宋_GB2312"/>
          <w:color w:val="000000"/>
          <w:sz w:val="32"/>
          <w:szCs w:val="32"/>
        </w:rPr>
        <w:t>充分利用电视、广播、互联网、微信等媒介，宣传百合生产的技术水平和生产能力，全州上下形成共同打造兰州百合的良好氛围。同时，开发系列优质产品，积极参与推荐、展览和展销等活动，使兰州百合逐渐成为高质量产品的标志，通过各形式的宣传推进，提高产品知名度，走上品牌拉动销售和生产的路子。</w:t>
      </w:r>
    </w:p>
    <w:p>
      <w:pPr>
        <w:spacing w:line="600" w:lineRule="exact"/>
        <w:ind w:firstLine="640" w:firstLineChars="200"/>
        <w:rPr>
          <w:rFonts w:ascii="仿宋_GB2312" w:eastAsia="仿宋_GB2312"/>
          <w:color w:val="000000"/>
          <w:sz w:val="32"/>
          <w:szCs w:val="32"/>
        </w:rPr>
      </w:pP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附表</w:t>
      </w:r>
      <w:r>
        <w:rPr>
          <w:rFonts w:ascii="仿宋_GB2312" w:eastAsia="仿宋_GB2312"/>
          <w:color w:val="000000"/>
          <w:sz w:val="30"/>
          <w:szCs w:val="30"/>
        </w:rPr>
        <w:t>1</w:t>
      </w:r>
      <w:r>
        <w:rPr>
          <w:rFonts w:hint="eastAsia" w:ascii="仿宋_GB2312" w:eastAsia="仿宋_GB2312"/>
          <w:color w:val="000000"/>
          <w:sz w:val="30"/>
          <w:szCs w:val="30"/>
        </w:rPr>
        <w:t>：临夏州百合产业覆盖乡（镇）、村一览表</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附表</w:t>
      </w:r>
      <w:r>
        <w:rPr>
          <w:rFonts w:ascii="仿宋_GB2312" w:eastAsia="仿宋_GB2312"/>
          <w:color w:val="000000"/>
          <w:sz w:val="30"/>
          <w:szCs w:val="30"/>
        </w:rPr>
        <w:t>2</w:t>
      </w:r>
      <w:r>
        <w:rPr>
          <w:rFonts w:hint="eastAsia" w:ascii="仿宋_GB2312" w:eastAsia="仿宋_GB2312"/>
          <w:color w:val="000000"/>
          <w:sz w:val="30"/>
          <w:szCs w:val="30"/>
        </w:rPr>
        <w:t>：永靖县精准扶贫百合种植面积年度计划表</w:t>
      </w:r>
    </w:p>
    <w:p>
      <w:pPr>
        <w:spacing w:line="600" w:lineRule="exact"/>
        <w:ind w:firstLine="1800" w:firstLineChars="600"/>
        <w:rPr>
          <w:rFonts w:ascii="仿宋_GB2312" w:eastAsia="仿宋_GB2312"/>
          <w:color w:val="000000"/>
          <w:sz w:val="30"/>
          <w:szCs w:val="30"/>
        </w:rPr>
      </w:pPr>
      <w:r>
        <w:rPr>
          <w:rFonts w:hint="eastAsia" w:ascii="仿宋_GB2312" w:eastAsia="仿宋_GB2312"/>
          <w:color w:val="000000"/>
          <w:sz w:val="30"/>
          <w:szCs w:val="30"/>
        </w:rPr>
        <w:t>（</w:t>
      </w:r>
      <w:r>
        <w:rPr>
          <w:rFonts w:ascii="仿宋_GB2312" w:eastAsia="仿宋_GB2312"/>
          <w:color w:val="000000"/>
          <w:sz w:val="30"/>
          <w:szCs w:val="30"/>
        </w:rPr>
        <w:t>2018—2020</w:t>
      </w:r>
      <w:r>
        <w:rPr>
          <w:rFonts w:hint="eastAsia" w:ascii="仿宋_GB2312" w:eastAsia="仿宋_GB2312"/>
          <w:color w:val="000000"/>
          <w:sz w:val="30"/>
          <w:szCs w:val="30"/>
        </w:rPr>
        <w:t>年）</w:t>
      </w:r>
    </w:p>
    <w:p>
      <w:pPr>
        <w:spacing w:line="600" w:lineRule="exact"/>
        <w:ind w:left="1838" w:leftChars="304" w:hanging="1200" w:hangingChars="400"/>
        <w:rPr>
          <w:rFonts w:ascii="仿宋_GB2312" w:hAnsi="黑体" w:eastAsia="仿宋_GB2312" w:cs="黑体"/>
          <w:sz w:val="30"/>
          <w:szCs w:val="30"/>
        </w:rPr>
        <w:sectPr>
          <w:headerReference r:id="rId3" w:type="default"/>
          <w:footerReference r:id="rId4" w:type="default"/>
          <w:footerReference r:id="rId5" w:type="even"/>
          <w:pgSz w:w="11906" w:h="16838"/>
          <w:pgMar w:top="2155" w:right="1474" w:bottom="1985" w:left="1588" w:header="851" w:footer="992" w:gutter="0"/>
          <w:pgNumType w:fmt="numberInDash" w:chapStyle="1"/>
          <w:cols w:space="0" w:num="1"/>
          <w:docGrid w:type="lines" w:linePitch="319" w:charSpace="0"/>
        </w:sectPr>
      </w:pPr>
      <w:r>
        <w:rPr>
          <w:rFonts w:hint="eastAsia" w:ascii="仿宋_GB2312" w:eastAsia="仿宋_GB2312"/>
          <w:color w:val="000000"/>
          <w:sz w:val="30"/>
          <w:szCs w:val="30"/>
        </w:rPr>
        <w:t>附表</w:t>
      </w:r>
      <w:r>
        <w:rPr>
          <w:rFonts w:ascii="仿宋_GB2312" w:eastAsia="仿宋_GB2312"/>
          <w:color w:val="000000"/>
          <w:sz w:val="30"/>
          <w:szCs w:val="30"/>
        </w:rPr>
        <w:t>3</w:t>
      </w:r>
      <w:r>
        <w:rPr>
          <w:rFonts w:hint="eastAsia" w:ascii="仿宋_GB2312" w:eastAsia="仿宋_GB2312"/>
          <w:color w:val="000000"/>
          <w:sz w:val="30"/>
          <w:szCs w:val="30"/>
        </w:rPr>
        <w:t>：</w:t>
      </w:r>
      <w:r>
        <w:rPr>
          <w:rFonts w:hint="eastAsia" w:ascii="仿宋_GB2312" w:eastAsia="仿宋_GB2312"/>
          <w:sz w:val="30"/>
          <w:szCs w:val="30"/>
        </w:rPr>
        <w:t>百合产业计划任务表</w:t>
      </w:r>
    </w:p>
    <w:p>
      <w:pPr>
        <w:spacing w:line="680" w:lineRule="exact"/>
        <w:rPr>
          <w:rFonts w:ascii="仿宋_GB2312" w:hAnsi="黑体" w:eastAsia="仿宋_GB2312" w:cs="黑体"/>
          <w:sz w:val="30"/>
          <w:szCs w:val="30"/>
        </w:rPr>
      </w:pPr>
      <w:r>
        <w:rPr>
          <w:rFonts w:hint="eastAsia" w:ascii="仿宋_GB2312" w:hAnsi="黑体" w:eastAsia="仿宋_GB2312" w:cs="黑体"/>
          <w:sz w:val="30"/>
          <w:szCs w:val="30"/>
        </w:rPr>
        <w:t>附表</w:t>
      </w:r>
      <w:r>
        <w:rPr>
          <w:rFonts w:ascii="仿宋_GB2312" w:hAnsi="黑体" w:eastAsia="仿宋_GB2312" w:cs="黑体"/>
          <w:sz w:val="30"/>
          <w:szCs w:val="30"/>
        </w:rPr>
        <w:t>2</w:t>
      </w:r>
      <w:r>
        <w:rPr>
          <w:rFonts w:hint="eastAsia" w:ascii="仿宋_GB2312" w:hAnsi="黑体" w:eastAsia="仿宋_GB2312" w:cs="黑体"/>
          <w:sz w:val="30"/>
          <w:szCs w:val="30"/>
        </w:rPr>
        <w:t>：</w:t>
      </w:r>
    </w:p>
    <w:p>
      <w:pPr>
        <w:spacing w:line="560" w:lineRule="exact"/>
        <w:jc w:val="center"/>
        <w:rPr>
          <w:rStyle w:val="14"/>
          <w:rFonts w:hAnsi="仿宋"/>
          <w:b/>
          <w:bCs/>
          <w:sz w:val="36"/>
          <w:szCs w:val="36"/>
        </w:rPr>
      </w:pPr>
      <w:r>
        <w:rPr>
          <w:rStyle w:val="14"/>
          <w:rFonts w:hint="eastAsia" w:hAnsi="仿宋"/>
          <w:b/>
          <w:bCs/>
          <w:sz w:val="36"/>
          <w:szCs w:val="36"/>
        </w:rPr>
        <w:t>永靖县精准扶贫百合种植面积年度计划表（</w:t>
      </w:r>
      <w:r>
        <w:rPr>
          <w:rStyle w:val="14"/>
          <w:rFonts w:hAnsi="仿宋"/>
          <w:b/>
          <w:bCs/>
          <w:sz w:val="36"/>
          <w:szCs w:val="36"/>
        </w:rPr>
        <w:t>2018—2020</w:t>
      </w:r>
      <w:r>
        <w:rPr>
          <w:rStyle w:val="14"/>
          <w:rFonts w:hint="eastAsia" w:hAnsi="仿宋"/>
          <w:b/>
          <w:bCs/>
          <w:sz w:val="36"/>
          <w:szCs w:val="36"/>
        </w:rPr>
        <w:t>年）</w:t>
      </w:r>
    </w:p>
    <w:p>
      <w:pPr>
        <w:rPr>
          <w:rFonts w:ascii="仿宋_GB2312" w:hAnsi="仿宋_GB2312" w:eastAsia="仿宋_GB2312" w:cs="仿宋_GB2312"/>
          <w:sz w:val="32"/>
          <w:szCs w:val="32"/>
        </w:rPr>
      </w:pPr>
      <w:r>
        <w:rPr>
          <w:rFonts w:ascii="仿宋_GB2312" w:hAnsi="方正小标宋简体" w:eastAsia="仿宋_GB2312" w:cs="方正小标宋简体"/>
          <w:sz w:val="36"/>
          <w:szCs w:val="36"/>
        </w:rPr>
        <w:t xml:space="preserve">                                                                   </w:t>
      </w:r>
      <w:r>
        <w:rPr>
          <w:rFonts w:hint="eastAsia" w:ascii="仿宋_GB2312" w:hAnsi="仿宋_GB2312" w:eastAsia="仿宋_GB2312" w:cs="仿宋_GB2312"/>
          <w:sz w:val="32"/>
          <w:szCs w:val="32"/>
        </w:rPr>
        <w:t>单位：亩</w:t>
      </w:r>
    </w:p>
    <w:tbl>
      <w:tblPr>
        <w:tblStyle w:val="8"/>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024"/>
        <w:gridCol w:w="1242"/>
        <w:gridCol w:w="945"/>
        <w:gridCol w:w="945"/>
        <w:gridCol w:w="945"/>
        <w:gridCol w:w="945"/>
        <w:gridCol w:w="945"/>
        <w:gridCol w:w="945"/>
        <w:gridCol w:w="945"/>
        <w:gridCol w:w="945"/>
        <w:gridCol w:w="945"/>
        <w:gridCol w:w="945"/>
        <w:gridCol w:w="9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569" w:type="dxa"/>
            <w:vMerge w:val="restart"/>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序号</w:t>
            </w:r>
          </w:p>
        </w:tc>
        <w:tc>
          <w:tcPr>
            <w:tcW w:w="1024" w:type="dxa"/>
            <w:vMerge w:val="restart"/>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乡镇</w:t>
            </w:r>
          </w:p>
        </w:tc>
        <w:tc>
          <w:tcPr>
            <w:tcW w:w="1242" w:type="dxa"/>
            <w:vAlign w:val="center"/>
          </w:tcPr>
          <w:p>
            <w:pPr>
              <w:widowControl/>
              <w:jc w:val="center"/>
              <w:textAlignment w:val="center"/>
              <w:rPr>
                <w:rFonts w:ascii="仿宋_GB2312" w:hAnsi="仿宋_GB2312" w:eastAsia="仿宋_GB2312" w:cs="仿宋_GB2312"/>
                <w:b/>
                <w:sz w:val="24"/>
              </w:rPr>
            </w:pPr>
            <w:r>
              <w:rPr>
                <w:rFonts w:ascii="仿宋_GB2312" w:hAnsi="宋体" w:eastAsia="仿宋_GB2312" w:cs="仿宋_GB2312"/>
                <w:b/>
                <w:color w:val="000000"/>
                <w:kern w:val="0"/>
                <w:sz w:val="24"/>
              </w:rPr>
              <w:t>2017</w:t>
            </w:r>
            <w:r>
              <w:rPr>
                <w:rFonts w:hint="eastAsia" w:ascii="仿宋_GB2312" w:hAnsi="宋体" w:eastAsia="仿宋_GB2312" w:cs="仿宋_GB2312"/>
                <w:b/>
                <w:color w:val="000000"/>
                <w:kern w:val="0"/>
                <w:sz w:val="24"/>
              </w:rPr>
              <w:t>年</w:t>
            </w:r>
          </w:p>
        </w:tc>
        <w:tc>
          <w:tcPr>
            <w:tcW w:w="1890" w:type="dxa"/>
            <w:gridSpan w:val="2"/>
            <w:vAlign w:val="center"/>
          </w:tcPr>
          <w:p>
            <w:pPr>
              <w:widowControl/>
              <w:jc w:val="center"/>
              <w:textAlignment w:val="center"/>
              <w:rPr>
                <w:rFonts w:ascii="仿宋_GB2312" w:hAnsi="仿宋_GB2312" w:eastAsia="仿宋_GB2312" w:cs="仿宋_GB2312"/>
                <w:b/>
                <w:sz w:val="24"/>
              </w:rPr>
            </w:pPr>
            <w:r>
              <w:rPr>
                <w:rFonts w:ascii="仿宋_GB2312" w:hAnsi="宋体" w:eastAsia="仿宋_GB2312" w:cs="仿宋_GB2312"/>
                <w:b/>
                <w:color w:val="000000"/>
                <w:kern w:val="0"/>
                <w:sz w:val="24"/>
              </w:rPr>
              <w:t>2018</w:t>
            </w:r>
            <w:r>
              <w:rPr>
                <w:rFonts w:hint="eastAsia" w:ascii="仿宋_GB2312" w:hAnsi="宋体" w:eastAsia="仿宋_GB2312" w:cs="仿宋_GB2312"/>
                <w:b/>
                <w:color w:val="000000"/>
                <w:kern w:val="0"/>
                <w:sz w:val="24"/>
              </w:rPr>
              <w:t>年</w:t>
            </w:r>
          </w:p>
        </w:tc>
        <w:tc>
          <w:tcPr>
            <w:tcW w:w="1890" w:type="dxa"/>
            <w:gridSpan w:val="2"/>
            <w:vAlign w:val="center"/>
          </w:tcPr>
          <w:p>
            <w:pPr>
              <w:widowControl/>
              <w:jc w:val="center"/>
              <w:textAlignment w:val="center"/>
              <w:rPr>
                <w:rFonts w:ascii="仿宋_GB2312" w:hAnsi="仿宋_GB2312" w:eastAsia="仿宋_GB2312" w:cs="仿宋_GB2312"/>
                <w:b/>
                <w:sz w:val="24"/>
              </w:rPr>
            </w:pPr>
            <w:r>
              <w:rPr>
                <w:rFonts w:ascii="仿宋_GB2312" w:hAnsi="宋体" w:eastAsia="仿宋_GB2312" w:cs="仿宋_GB2312"/>
                <w:b/>
                <w:color w:val="000000"/>
                <w:kern w:val="0"/>
                <w:sz w:val="24"/>
              </w:rPr>
              <w:t>2018</w:t>
            </w:r>
            <w:r>
              <w:rPr>
                <w:rFonts w:hint="eastAsia" w:ascii="仿宋_GB2312" w:hAnsi="宋体" w:eastAsia="仿宋_GB2312" w:cs="仿宋_GB2312"/>
                <w:b/>
                <w:color w:val="000000"/>
                <w:kern w:val="0"/>
                <w:sz w:val="24"/>
              </w:rPr>
              <w:t>年</w:t>
            </w:r>
          </w:p>
        </w:tc>
        <w:tc>
          <w:tcPr>
            <w:tcW w:w="1890" w:type="dxa"/>
            <w:gridSpan w:val="2"/>
            <w:vAlign w:val="center"/>
          </w:tcPr>
          <w:p>
            <w:pPr>
              <w:widowControl/>
              <w:jc w:val="center"/>
              <w:textAlignment w:val="center"/>
              <w:rPr>
                <w:rFonts w:ascii="仿宋_GB2312" w:hAnsi="仿宋_GB2312" w:eastAsia="仿宋_GB2312" w:cs="仿宋_GB2312"/>
                <w:b/>
                <w:sz w:val="24"/>
              </w:rPr>
            </w:pPr>
            <w:r>
              <w:rPr>
                <w:rFonts w:ascii="仿宋_GB2312" w:hAnsi="宋体" w:eastAsia="仿宋_GB2312" w:cs="仿宋_GB2312"/>
                <w:b/>
                <w:color w:val="000000"/>
                <w:kern w:val="0"/>
                <w:sz w:val="24"/>
              </w:rPr>
              <w:t>2019</w:t>
            </w:r>
            <w:r>
              <w:rPr>
                <w:rFonts w:hint="eastAsia" w:ascii="仿宋_GB2312" w:hAnsi="宋体" w:eastAsia="仿宋_GB2312" w:cs="仿宋_GB2312"/>
                <w:b/>
                <w:color w:val="000000"/>
                <w:kern w:val="0"/>
                <w:sz w:val="24"/>
              </w:rPr>
              <w:t>年</w:t>
            </w:r>
          </w:p>
        </w:tc>
        <w:tc>
          <w:tcPr>
            <w:tcW w:w="1890" w:type="dxa"/>
            <w:gridSpan w:val="2"/>
            <w:vAlign w:val="center"/>
          </w:tcPr>
          <w:p>
            <w:pPr>
              <w:widowControl/>
              <w:jc w:val="center"/>
              <w:textAlignment w:val="center"/>
              <w:rPr>
                <w:rFonts w:ascii="仿宋_GB2312" w:hAnsi="仿宋_GB2312" w:eastAsia="仿宋_GB2312" w:cs="仿宋_GB2312"/>
                <w:b/>
                <w:sz w:val="24"/>
              </w:rPr>
            </w:pPr>
            <w:r>
              <w:rPr>
                <w:rFonts w:ascii="仿宋_GB2312" w:hAnsi="宋体" w:eastAsia="仿宋_GB2312" w:cs="仿宋_GB2312"/>
                <w:b/>
                <w:color w:val="000000"/>
                <w:kern w:val="0"/>
                <w:sz w:val="24"/>
              </w:rPr>
              <w:t>2019</w:t>
            </w:r>
            <w:r>
              <w:rPr>
                <w:rFonts w:hint="eastAsia" w:ascii="仿宋_GB2312" w:hAnsi="宋体" w:eastAsia="仿宋_GB2312" w:cs="仿宋_GB2312"/>
                <w:b/>
                <w:color w:val="000000"/>
                <w:kern w:val="0"/>
                <w:sz w:val="24"/>
              </w:rPr>
              <w:t>年</w:t>
            </w:r>
          </w:p>
        </w:tc>
        <w:tc>
          <w:tcPr>
            <w:tcW w:w="1890" w:type="dxa"/>
            <w:gridSpan w:val="2"/>
            <w:vAlign w:val="center"/>
          </w:tcPr>
          <w:p>
            <w:pPr>
              <w:widowControl/>
              <w:jc w:val="center"/>
              <w:textAlignment w:val="center"/>
              <w:rPr>
                <w:rFonts w:ascii="仿宋_GB2312" w:hAnsi="仿宋_GB2312" w:eastAsia="仿宋_GB2312" w:cs="仿宋_GB2312"/>
                <w:b/>
                <w:sz w:val="24"/>
              </w:rPr>
            </w:pPr>
            <w:r>
              <w:rPr>
                <w:rFonts w:ascii="仿宋_GB2312" w:hAnsi="宋体" w:eastAsia="仿宋_GB2312" w:cs="仿宋_GB2312"/>
                <w:b/>
                <w:color w:val="000000"/>
                <w:kern w:val="0"/>
                <w:sz w:val="24"/>
              </w:rPr>
              <w:t>2020</w:t>
            </w:r>
            <w:r>
              <w:rPr>
                <w:rFonts w:hint="eastAsia" w:ascii="仿宋_GB2312" w:hAnsi="宋体" w:eastAsia="仿宋_GB2312" w:cs="仿宋_GB2312"/>
                <w:b/>
                <w:color w:val="000000"/>
                <w:kern w:val="0"/>
                <w:sz w:val="24"/>
              </w:rPr>
              <w:t>年</w:t>
            </w:r>
          </w:p>
        </w:tc>
        <w:tc>
          <w:tcPr>
            <w:tcW w:w="1890" w:type="dxa"/>
            <w:gridSpan w:val="2"/>
            <w:vAlign w:val="center"/>
          </w:tcPr>
          <w:p>
            <w:pPr>
              <w:widowControl/>
              <w:jc w:val="center"/>
              <w:textAlignment w:val="center"/>
              <w:rPr>
                <w:rFonts w:ascii="仿宋_GB2312" w:hAnsi="仿宋_GB2312" w:eastAsia="仿宋_GB2312" w:cs="仿宋_GB2312"/>
                <w:b/>
                <w:sz w:val="24"/>
              </w:rPr>
            </w:pPr>
            <w:r>
              <w:rPr>
                <w:rFonts w:ascii="仿宋_GB2312" w:hAnsi="宋体" w:eastAsia="仿宋_GB2312" w:cs="仿宋_GB2312"/>
                <w:b/>
                <w:color w:val="000000"/>
                <w:kern w:val="0"/>
                <w:sz w:val="24"/>
              </w:rPr>
              <w:t>2020</w:t>
            </w:r>
            <w:r>
              <w:rPr>
                <w:rFonts w:hint="eastAsia" w:ascii="仿宋_GB2312" w:hAnsi="宋体" w:eastAsia="仿宋_GB2312" w:cs="仿宋_GB2312"/>
                <w:b/>
                <w:color w:val="00000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569" w:type="dxa"/>
            <w:vMerge w:val="continue"/>
            <w:vAlign w:val="center"/>
          </w:tcPr>
          <w:p>
            <w:pPr>
              <w:jc w:val="center"/>
              <w:rPr>
                <w:rFonts w:ascii="仿宋_GB2312" w:hAnsi="仿宋_GB2312" w:eastAsia="仿宋_GB2312" w:cs="仿宋_GB2312"/>
                <w:b/>
                <w:sz w:val="24"/>
              </w:rPr>
            </w:pPr>
          </w:p>
        </w:tc>
        <w:tc>
          <w:tcPr>
            <w:tcW w:w="1024" w:type="dxa"/>
            <w:vMerge w:val="continue"/>
            <w:vAlign w:val="center"/>
          </w:tcPr>
          <w:p>
            <w:pPr>
              <w:jc w:val="center"/>
              <w:rPr>
                <w:rFonts w:ascii="仿宋_GB2312" w:hAnsi="仿宋_GB2312" w:eastAsia="仿宋_GB2312" w:cs="仿宋_GB2312"/>
                <w:b/>
                <w:sz w:val="24"/>
              </w:rPr>
            </w:pPr>
          </w:p>
        </w:tc>
        <w:tc>
          <w:tcPr>
            <w:tcW w:w="1242"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面积</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新增</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面积</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贫困户种植面积</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新增</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新增</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面积</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贫困户种植面积</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新增</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新增</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面积</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贫困户种植面积</w:t>
            </w:r>
          </w:p>
        </w:tc>
        <w:tc>
          <w:tcPr>
            <w:tcW w:w="945" w:type="dxa"/>
            <w:vAlign w:val="center"/>
          </w:tcPr>
          <w:p>
            <w:pPr>
              <w:widowControl/>
              <w:jc w:val="center"/>
              <w:textAlignment w:val="center"/>
              <w:rPr>
                <w:rFonts w:ascii="仿宋_GB2312" w:hAnsi="仿宋_GB2312" w:eastAsia="仿宋_GB2312" w:cs="仿宋_GB2312"/>
                <w:b/>
                <w:sz w:val="24"/>
              </w:rPr>
            </w:pPr>
            <w:r>
              <w:rPr>
                <w:rFonts w:hint="eastAsia" w:ascii="仿宋_GB2312" w:hAnsi="宋体" w:eastAsia="仿宋_GB2312" w:cs="仿宋_GB2312"/>
                <w:b/>
                <w:color w:val="000000"/>
                <w:kern w:val="0"/>
                <w:sz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593" w:type="dxa"/>
            <w:gridSpan w:val="2"/>
            <w:vAlign w:val="center"/>
          </w:tcPr>
          <w:p>
            <w:pPr>
              <w:widowControl/>
              <w:jc w:val="center"/>
              <w:textAlignment w:val="center"/>
              <w:rPr>
                <w:rFonts w:ascii="仿宋_GB2312" w:hAnsi="仿宋_GB2312" w:eastAsia="仿宋_GB2312" w:cs="仿宋_GB2312"/>
                <w:szCs w:val="21"/>
              </w:rPr>
            </w:pPr>
            <w:r>
              <w:rPr>
                <w:rFonts w:hint="eastAsia" w:ascii="仿宋_GB2312" w:hAnsi="宋体" w:eastAsia="仿宋_GB2312" w:cs="仿宋_GB2312"/>
                <w:color w:val="000000"/>
                <w:kern w:val="0"/>
                <w:szCs w:val="21"/>
              </w:rPr>
              <w:t>合计</w:t>
            </w:r>
          </w:p>
        </w:tc>
        <w:tc>
          <w:tcPr>
            <w:tcW w:w="1242"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48000</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3000</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51000</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2118</w:t>
            </w:r>
          </w:p>
        </w:tc>
        <w:tc>
          <w:tcPr>
            <w:tcW w:w="945" w:type="dxa"/>
            <w:vAlign w:val="center"/>
          </w:tcPr>
          <w:p>
            <w:pPr>
              <w:widowControl/>
              <w:jc w:val="center"/>
              <w:textAlignment w:val="center"/>
              <w:rPr>
                <w:rFonts w:hint="eastAsia" w:ascii="仿宋_GB2312" w:hAnsi="仿宋_GB2312" w:eastAsia="仿宋_GB2312" w:cs="仿宋_GB2312"/>
                <w:szCs w:val="21"/>
                <w:lang w:eastAsia="zh-CN"/>
              </w:rPr>
            </w:pPr>
            <w:r>
              <w:rPr>
                <w:rFonts w:hint="eastAsia" w:ascii="仿宋_GB2312" w:hAnsi="宋体" w:eastAsia="仿宋_GB2312" w:cs="仿宋_GB2312"/>
                <w:color w:val="000000"/>
                <w:kern w:val="0"/>
                <w:szCs w:val="21"/>
                <w:lang w:val="en-US" w:eastAsia="zh-CN"/>
              </w:rPr>
              <w:t>768</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3000</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54000</w:t>
            </w:r>
          </w:p>
        </w:tc>
        <w:tc>
          <w:tcPr>
            <w:tcW w:w="945" w:type="dxa"/>
            <w:vAlign w:val="center"/>
          </w:tcPr>
          <w:p>
            <w:pPr>
              <w:widowControl/>
              <w:jc w:val="center"/>
              <w:textAlignment w:val="center"/>
              <w:rPr>
                <w:rFonts w:hint="eastAsia" w:ascii="仿宋_GB2312" w:hAnsi="仿宋_GB2312" w:eastAsia="仿宋_GB2312" w:cs="仿宋_GB2312"/>
                <w:szCs w:val="21"/>
                <w:lang w:eastAsia="zh-CN"/>
              </w:rPr>
            </w:pPr>
            <w:r>
              <w:rPr>
                <w:rFonts w:hint="eastAsia" w:ascii="仿宋_GB2312" w:hAnsi="宋体" w:eastAsia="仿宋_GB2312" w:cs="仿宋_GB2312"/>
                <w:color w:val="000000"/>
                <w:kern w:val="0"/>
                <w:szCs w:val="21"/>
                <w:lang w:val="en-US" w:eastAsia="zh-CN"/>
              </w:rPr>
              <w:t>2501</w:t>
            </w:r>
          </w:p>
        </w:tc>
        <w:tc>
          <w:tcPr>
            <w:tcW w:w="945" w:type="dxa"/>
            <w:vAlign w:val="center"/>
          </w:tcPr>
          <w:p>
            <w:pPr>
              <w:widowControl/>
              <w:jc w:val="center"/>
              <w:textAlignment w:val="center"/>
              <w:rPr>
                <w:rFonts w:hint="eastAsia" w:ascii="仿宋_GB2312" w:hAnsi="仿宋_GB2312" w:eastAsia="仿宋_GB2312" w:cs="仿宋_GB2312"/>
                <w:szCs w:val="21"/>
                <w:lang w:eastAsia="zh-CN"/>
              </w:rPr>
            </w:pPr>
            <w:r>
              <w:rPr>
                <w:rFonts w:hint="eastAsia" w:ascii="仿宋_GB2312" w:hAnsi="宋体" w:eastAsia="仿宋_GB2312" w:cs="仿宋_GB2312"/>
                <w:color w:val="000000"/>
                <w:kern w:val="0"/>
                <w:szCs w:val="21"/>
                <w:lang w:val="en-US" w:eastAsia="zh-CN"/>
              </w:rPr>
              <w:t>383</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3000</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57000</w:t>
            </w:r>
          </w:p>
        </w:tc>
        <w:tc>
          <w:tcPr>
            <w:tcW w:w="945" w:type="dxa"/>
            <w:vAlign w:val="center"/>
          </w:tcPr>
          <w:p>
            <w:pPr>
              <w:widowControl/>
              <w:jc w:val="center"/>
              <w:textAlignment w:val="center"/>
              <w:rPr>
                <w:rFonts w:hint="eastAsia" w:ascii="仿宋_GB2312" w:hAnsi="仿宋_GB2312" w:eastAsia="仿宋_GB2312" w:cs="仿宋_GB2312"/>
                <w:szCs w:val="21"/>
                <w:lang w:eastAsia="zh-CN"/>
              </w:rPr>
            </w:pPr>
            <w:r>
              <w:rPr>
                <w:rFonts w:hint="eastAsia" w:ascii="仿宋_GB2312" w:hAnsi="宋体" w:eastAsia="仿宋_GB2312" w:cs="仿宋_GB2312"/>
                <w:color w:val="000000"/>
                <w:kern w:val="0"/>
                <w:szCs w:val="21"/>
                <w:lang w:val="en-US" w:eastAsia="zh-CN"/>
              </w:rPr>
              <w:t>2692</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w:t>
            </w:r>
            <w:r>
              <w:rPr>
                <w:rFonts w:hint="eastAsia" w:ascii="仿宋_GB2312" w:hAnsi="宋体" w:eastAsia="仿宋_GB2312" w:cs="仿宋_GB2312"/>
                <w:color w:val="000000"/>
                <w:kern w:val="0"/>
                <w:szCs w:val="21"/>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569"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w:t>
            </w:r>
          </w:p>
        </w:tc>
        <w:tc>
          <w:tcPr>
            <w:tcW w:w="1024" w:type="dxa"/>
            <w:vAlign w:val="center"/>
          </w:tcPr>
          <w:p>
            <w:pPr>
              <w:widowControl/>
              <w:jc w:val="center"/>
              <w:textAlignment w:val="center"/>
              <w:rPr>
                <w:rFonts w:ascii="仿宋_GB2312" w:hAnsi="仿宋_GB2312" w:eastAsia="仿宋_GB2312" w:cs="仿宋_GB2312"/>
                <w:szCs w:val="21"/>
              </w:rPr>
            </w:pPr>
            <w:r>
              <w:rPr>
                <w:rFonts w:hint="eastAsia" w:ascii="仿宋_GB2312" w:hAnsi="仿宋" w:eastAsia="仿宋_GB2312" w:cs="仿宋"/>
                <w:color w:val="000000"/>
                <w:kern w:val="0"/>
                <w:szCs w:val="21"/>
              </w:rPr>
              <w:t>陈井镇</w:t>
            </w:r>
          </w:p>
        </w:tc>
        <w:tc>
          <w:tcPr>
            <w:tcW w:w="1242"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21052</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1000</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22052</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915</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203</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1000</w:t>
            </w:r>
          </w:p>
        </w:tc>
        <w:tc>
          <w:tcPr>
            <w:tcW w:w="945" w:type="dxa"/>
            <w:vAlign w:val="center"/>
          </w:tcPr>
          <w:p>
            <w:pPr>
              <w:widowControl/>
              <w:jc w:val="left"/>
              <w:textAlignment w:val="center"/>
              <w:rPr>
                <w:rFonts w:ascii="仿宋_GB2312" w:hAnsi="仿宋_GB2312" w:eastAsia="仿宋_GB2312" w:cs="仿宋_GB2312"/>
                <w:szCs w:val="21"/>
              </w:rPr>
            </w:pPr>
            <w:r>
              <w:rPr>
                <w:rFonts w:ascii="仿宋_GB2312" w:hAnsi="宋体" w:eastAsia="仿宋_GB2312" w:cs="宋体"/>
                <w:color w:val="000000"/>
                <w:kern w:val="0"/>
                <w:szCs w:val="21"/>
              </w:rPr>
              <w:t>23052</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1017</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102</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1000</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24052</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1068</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569"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2</w:t>
            </w:r>
          </w:p>
        </w:tc>
        <w:tc>
          <w:tcPr>
            <w:tcW w:w="1024" w:type="dxa"/>
            <w:vAlign w:val="center"/>
          </w:tcPr>
          <w:p>
            <w:pPr>
              <w:widowControl/>
              <w:jc w:val="center"/>
              <w:textAlignment w:val="center"/>
              <w:rPr>
                <w:rFonts w:ascii="仿宋_GB2312" w:hAnsi="仿宋_GB2312" w:eastAsia="仿宋_GB2312" w:cs="仿宋_GB2312"/>
                <w:szCs w:val="21"/>
              </w:rPr>
            </w:pPr>
            <w:r>
              <w:rPr>
                <w:rFonts w:hint="eastAsia" w:ascii="仿宋_GB2312" w:hAnsi="仿宋" w:eastAsia="仿宋_GB2312" w:cs="仿宋"/>
                <w:color w:val="000000"/>
                <w:kern w:val="0"/>
                <w:szCs w:val="21"/>
              </w:rPr>
              <w:t>徐顶乡</w:t>
            </w:r>
          </w:p>
        </w:tc>
        <w:tc>
          <w:tcPr>
            <w:tcW w:w="1242"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10397</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1000</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11397</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365</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162</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1000</w:t>
            </w:r>
          </w:p>
        </w:tc>
        <w:tc>
          <w:tcPr>
            <w:tcW w:w="945" w:type="dxa"/>
            <w:vAlign w:val="center"/>
          </w:tcPr>
          <w:p>
            <w:pPr>
              <w:widowControl/>
              <w:jc w:val="left"/>
              <w:textAlignment w:val="center"/>
              <w:rPr>
                <w:rFonts w:ascii="仿宋_GB2312" w:hAnsi="仿宋_GB2312" w:eastAsia="仿宋_GB2312" w:cs="仿宋_GB2312"/>
                <w:szCs w:val="21"/>
              </w:rPr>
            </w:pPr>
            <w:r>
              <w:rPr>
                <w:rFonts w:ascii="仿宋_GB2312" w:hAnsi="宋体" w:eastAsia="仿宋_GB2312" w:cs="宋体"/>
                <w:color w:val="000000"/>
                <w:kern w:val="0"/>
                <w:szCs w:val="21"/>
              </w:rPr>
              <w:t>12397</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446</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81</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1000</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13397</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486</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569"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3</w:t>
            </w:r>
          </w:p>
        </w:tc>
        <w:tc>
          <w:tcPr>
            <w:tcW w:w="1024" w:type="dxa"/>
            <w:vAlign w:val="center"/>
          </w:tcPr>
          <w:p>
            <w:pPr>
              <w:widowControl/>
              <w:jc w:val="center"/>
              <w:textAlignment w:val="center"/>
              <w:rPr>
                <w:rFonts w:ascii="仿宋_GB2312" w:hAnsi="仿宋_GB2312" w:eastAsia="仿宋_GB2312" w:cs="仿宋_GB2312"/>
                <w:szCs w:val="21"/>
              </w:rPr>
            </w:pPr>
            <w:r>
              <w:rPr>
                <w:rFonts w:hint="eastAsia" w:ascii="仿宋_GB2312" w:hAnsi="仿宋" w:eastAsia="仿宋_GB2312" w:cs="仿宋"/>
                <w:color w:val="000000"/>
                <w:kern w:val="0"/>
                <w:szCs w:val="21"/>
              </w:rPr>
              <w:t>关山乡</w:t>
            </w:r>
          </w:p>
        </w:tc>
        <w:tc>
          <w:tcPr>
            <w:tcW w:w="1242"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16551</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1000</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17551</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838</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403</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1000</w:t>
            </w:r>
          </w:p>
        </w:tc>
        <w:tc>
          <w:tcPr>
            <w:tcW w:w="945" w:type="dxa"/>
            <w:vAlign w:val="center"/>
          </w:tcPr>
          <w:p>
            <w:pPr>
              <w:widowControl/>
              <w:jc w:val="left"/>
              <w:textAlignment w:val="center"/>
              <w:rPr>
                <w:rFonts w:ascii="仿宋_GB2312" w:hAnsi="仿宋_GB2312" w:eastAsia="仿宋_GB2312" w:cs="仿宋_GB2312"/>
                <w:szCs w:val="21"/>
              </w:rPr>
            </w:pPr>
            <w:r>
              <w:rPr>
                <w:rFonts w:ascii="仿宋_GB2312" w:hAnsi="宋体" w:eastAsia="仿宋_GB2312" w:cs="宋体"/>
                <w:color w:val="000000"/>
                <w:kern w:val="0"/>
                <w:szCs w:val="21"/>
              </w:rPr>
              <w:t>18551</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1038</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200</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1000</w:t>
            </w:r>
          </w:p>
        </w:tc>
        <w:tc>
          <w:tcPr>
            <w:tcW w:w="945" w:type="dxa"/>
            <w:vAlign w:val="center"/>
          </w:tcPr>
          <w:p>
            <w:pPr>
              <w:widowControl/>
              <w:jc w:val="center"/>
              <w:textAlignment w:val="center"/>
              <w:rPr>
                <w:rFonts w:ascii="仿宋_GB2312" w:hAnsi="仿宋_GB2312" w:eastAsia="仿宋_GB2312" w:cs="仿宋_GB2312"/>
                <w:szCs w:val="21"/>
              </w:rPr>
            </w:pPr>
            <w:r>
              <w:rPr>
                <w:rFonts w:ascii="仿宋_GB2312" w:hAnsi="宋体" w:eastAsia="仿宋_GB2312" w:cs="仿宋_GB2312"/>
                <w:color w:val="000000"/>
                <w:kern w:val="0"/>
                <w:szCs w:val="21"/>
              </w:rPr>
              <w:t>19551</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1138</w:t>
            </w:r>
          </w:p>
        </w:tc>
        <w:tc>
          <w:tcPr>
            <w:tcW w:w="945" w:type="dxa"/>
            <w:vAlign w:val="center"/>
          </w:tcPr>
          <w:p>
            <w:pPr>
              <w:keepNext w:val="0"/>
              <w:keepLines w:val="0"/>
              <w:widowControl/>
              <w:suppressLineNumbers w:val="0"/>
              <w:jc w:val="center"/>
              <w:textAlignment w:val="center"/>
              <w:rPr>
                <w:rFonts w:ascii="仿宋_GB2312" w:hAnsi="仿宋_GB2312" w:eastAsia="仿宋_GB2312" w:cs="仿宋_GB2312"/>
                <w:szCs w:val="21"/>
              </w:rPr>
            </w:pPr>
            <w:r>
              <w:rPr>
                <w:rFonts w:hint="eastAsia" w:ascii="仿宋_GB2312" w:hAnsi="宋体" w:eastAsia="仿宋_GB2312" w:cs="仿宋_GB2312"/>
                <w:i w:val="0"/>
                <w:color w:val="000000"/>
                <w:kern w:val="0"/>
                <w:sz w:val="24"/>
                <w:szCs w:val="24"/>
                <w:u w:val="none"/>
                <w:lang w:val="en-US" w:eastAsia="zh-CN" w:bidi="ar"/>
              </w:rPr>
              <w:t>100</w:t>
            </w:r>
          </w:p>
        </w:tc>
      </w:tr>
    </w:tbl>
    <w:p>
      <w:pPr>
        <w:tabs>
          <w:tab w:val="left" w:pos="7123"/>
        </w:tabs>
        <w:spacing w:line="640" w:lineRule="exact"/>
        <w:contextualSpacing/>
        <w:rPr>
          <w:rFonts w:ascii="仿宋_GB2312" w:hAnsi="宋体" w:eastAsia="仿宋_GB2312"/>
          <w:sz w:val="32"/>
          <w:szCs w:val="32"/>
        </w:rPr>
      </w:pPr>
    </w:p>
    <w:p>
      <w:pPr>
        <w:jc w:val="center"/>
        <w:rPr>
          <w:rStyle w:val="14"/>
          <w:rFonts w:hint="eastAsia" w:hAnsi="仿宋"/>
          <w:b/>
          <w:bCs/>
          <w:sz w:val="36"/>
          <w:szCs w:val="36"/>
        </w:rPr>
        <w:sectPr>
          <w:footerReference r:id="rId6" w:type="default"/>
          <w:pgSz w:w="16838" w:h="11906" w:orient="landscape"/>
          <w:pgMar w:top="1803" w:right="1440" w:bottom="1803" w:left="1440" w:header="851" w:footer="992" w:gutter="0"/>
          <w:pgNumType w:fmt="numberInDash" w:chapStyle="1"/>
          <w:cols w:space="0" w:num="1"/>
          <w:docGrid w:type="lines" w:linePitch="319" w:charSpace="0"/>
        </w:sectPr>
      </w:pPr>
    </w:p>
    <w:tbl>
      <w:tblPr>
        <w:tblStyle w:val="8"/>
        <w:tblpPr w:leftFromText="180" w:rightFromText="180" w:vertAnchor="text" w:horzAnchor="margin" w:tblpY="797"/>
        <w:tblOverlap w:val="never"/>
        <w:tblW w:w="14267" w:type="dxa"/>
        <w:tblInd w:w="0" w:type="dxa"/>
        <w:tblLayout w:type="fixed"/>
        <w:tblCellMar>
          <w:top w:w="0" w:type="dxa"/>
          <w:left w:w="30" w:type="dxa"/>
          <w:bottom w:w="0" w:type="dxa"/>
          <w:right w:w="30" w:type="dxa"/>
        </w:tblCellMar>
      </w:tblPr>
      <w:tblGrid>
        <w:gridCol w:w="568"/>
        <w:gridCol w:w="2409"/>
        <w:gridCol w:w="830"/>
        <w:gridCol w:w="3783"/>
        <w:gridCol w:w="1352"/>
        <w:gridCol w:w="744"/>
        <w:gridCol w:w="955"/>
        <w:gridCol w:w="1217"/>
        <w:gridCol w:w="984"/>
        <w:gridCol w:w="1425"/>
      </w:tblGrid>
      <w:tr>
        <w:tblPrEx>
          <w:tblLayout w:type="fixed"/>
          <w:tblCellMar>
            <w:top w:w="0" w:type="dxa"/>
            <w:left w:w="30" w:type="dxa"/>
            <w:bottom w:w="0" w:type="dxa"/>
            <w:right w:w="30" w:type="dxa"/>
          </w:tblCellMar>
        </w:tblPrEx>
        <w:trPr>
          <w:trHeight w:val="553" w:hRule="atLeast"/>
        </w:trPr>
        <w:tc>
          <w:tcPr>
            <w:tcW w:w="14267" w:type="dxa"/>
            <w:gridSpan w:val="10"/>
            <w:tcBorders>
              <w:bottom w:val="single" w:color="auto" w:sz="4" w:space="0"/>
            </w:tcBorders>
            <w:vAlign w:val="center"/>
          </w:tcPr>
          <w:p>
            <w:pPr>
              <w:jc w:val="center"/>
              <w:rPr>
                <w:rStyle w:val="14"/>
                <w:rFonts w:hAnsi="仿宋"/>
                <w:b/>
                <w:bCs/>
                <w:sz w:val="36"/>
                <w:szCs w:val="36"/>
              </w:rPr>
            </w:pPr>
            <w:r>
              <w:rPr>
                <w:rStyle w:val="14"/>
                <w:rFonts w:hint="eastAsia" w:hAnsi="仿宋"/>
                <w:b/>
                <w:bCs/>
                <w:sz w:val="36"/>
                <w:szCs w:val="36"/>
              </w:rPr>
              <w:t>百合产业计划任务表</w:t>
            </w:r>
          </w:p>
        </w:tc>
      </w:tr>
      <w:tr>
        <w:tblPrEx>
          <w:tblLayout w:type="fixed"/>
          <w:tblCellMar>
            <w:top w:w="0" w:type="dxa"/>
            <w:left w:w="30" w:type="dxa"/>
            <w:bottom w:w="0" w:type="dxa"/>
            <w:right w:w="30" w:type="dxa"/>
          </w:tblCellMar>
        </w:tblPrEx>
        <w:trPr>
          <w:trHeight w:val="675" w:hRule="atLeast"/>
        </w:trPr>
        <w:tc>
          <w:tcPr>
            <w:tcW w:w="568" w:type="dxa"/>
            <w:tcBorders>
              <w:top w:val="single" w:color="auto"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2409"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任务名称</w:t>
            </w:r>
          </w:p>
        </w:tc>
        <w:tc>
          <w:tcPr>
            <w:tcW w:w="830"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建设性质</w:t>
            </w:r>
          </w:p>
        </w:tc>
        <w:tc>
          <w:tcPr>
            <w:tcW w:w="3783"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主要建设内容</w:t>
            </w:r>
          </w:p>
        </w:tc>
        <w:tc>
          <w:tcPr>
            <w:tcW w:w="1352"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建设年限</w:t>
            </w:r>
          </w:p>
        </w:tc>
        <w:tc>
          <w:tcPr>
            <w:tcW w:w="744"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总任务（个）</w:t>
            </w:r>
          </w:p>
        </w:tc>
        <w:tc>
          <w:tcPr>
            <w:tcW w:w="3156"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年度任务（个）</w:t>
            </w:r>
          </w:p>
        </w:tc>
        <w:tc>
          <w:tcPr>
            <w:tcW w:w="1425" w:type="dxa"/>
            <w:tcBorders>
              <w:top w:val="single" w:color="auto"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Layout w:type="fixed"/>
          <w:tblCellMar>
            <w:top w:w="0" w:type="dxa"/>
            <w:left w:w="30" w:type="dxa"/>
            <w:bottom w:w="0" w:type="dxa"/>
            <w:right w:w="30" w:type="dxa"/>
          </w:tblCellMar>
        </w:tblPrEx>
        <w:trPr>
          <w:trHeight w:val="398" w:hRule="atLeast"/>
        </w:trPr>
        <w:tc>
          <w:tcPr>
            <w:tcW w:w="568"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sz w:val="24"/>
              </w:rPr>
            </w:pPr>
          </w:p>
        </w:tc>
        <w:tc>
          <w:tcPr>
            <w:tcW w:w="24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p>
        </w:tc>
        <w:tc>
          <w:tcPr>
            <w:tcW w:w="8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p>
        </w:tc>
        <w:tc>
          <w:tcPr>
            <w:tcW w:w="37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p>
        </w:tc>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2018</w:t>
            </w:r>
          </w:p>
        </w:tc>
        <w:tc>
          <w:tcPr>
            <w:tcW w:w="12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2019</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2020</w:t>
            </w:r>
          </w:p>
        </w:tc>
        <w:tc>
          <w:tcPr>
            <w:tcW w:w="1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sz w:val="24"/>
              </w:rPr>
            </w:pPr>
          </w:p>
        </w:tc>
      </w:tr>
      <w:tr>
        <w:tblPrEx>
          <w:tblLayout w:type="fixed"/>
          <w:tblCellMar>
            <w:top w:w="0" w:type="dxa"/>
            <w:left w:w="30" w:type="dxa"/>
            <w:bottom w:w="0" w:type="dxa"/>
            <w:right w:w="30" w:type="dxa"/>
          </w:tblCellMar>
        </w:tblPrEx>
        <w:trPr>
          <w:trHeight w:val="787" w:hRule="atLeast"/>
        </w:trPr>
        <w:tc>
          <w:tcPr>
            <w:tcW w:w="568"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2409"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集约化脱毒种球繁育场建设</w:t>
            </w:r>
          </w:p>
        </w:tc>
        <w:tc>
          <w:tcPr>
            <w:tcW w:w="8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新建</w:t>
            </w:r>
          </w:p>
        </w:tc>
        <w:tc>
          <w:tcPr>
            <w:tcW w:w="3783"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年繁育脱毒种球</w:t>
            </w:r>
            <w:r>
              <w:rPr>
                <w:rFonts w:ascii="仿宋_GB2312" w:hAnsi="仿宋_GB2312" w:eastAsia="仿宋_GB2312" w:cs="仿宋_GB2312"/>
                <w:sz w:val="24"/>
              </w:rPr>
              <w:t>300</w:t>
            </w:r>
            <w:r>
              <w:rPr>
                <w:rFonts w:hint="eastAsia" w:ascii="仿宋_GB2312" w:hAnsi="仿宋_GB2312" w:eastAsia="仿宋_GB2312" w:cs="仿宋_GB2312"/>
                <w:sz w:val="24"/>
              </w:rPr>
              <w:t>万粒上</w:t>
            </w: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2018-2020</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12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p>
        </w:tc>
        <w:tc>
          <w:tcPr>
            <w:tcW w:w="1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sz w:val="24"/>
              </w:rPr>
            </w:pPr>
          </w:p>
        </w:tc>
      </w:tr>
      <w:tr>
        <w:tblPrEx>
          <w:tblLayout w:type="fixed"/>
          <w:tblCellMar>
            <w:top w:w="0" w:type="dxa"/>
            <w:left w:w="30" w:type="dxa"/>
            <w:bottom w:w="0" w:type="dxa"/>
            <w:right w:w="30" w:type="dxa"/>
          </w:tblCellMar>
        </w:tblPrEx>
        <w:trPr>
          <w:trHeight w:val="1175" w:hRule="atLeast"/>
        </w:trPr>
        <w:tc>
          <w:tcPr>
            <w:tcW w:w="568"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2</w:t>
            </w:r>
          </w:p>
        </w:tc>
        <w:tc>
          <w:tcPr>
            <w:tcW w:w="2409"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百合高产高效生产基地建设</w:t>
            </w:r>
          </w:p>
        </w:tc>
        <w:tc>
          <w:tcPr>
            <w:tcW w:w="8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新建</w:t>
            </w:r>
          </w:p>
        </w:tc>
        <w:tc>
          <w:tcPr>
            <w:tcW w:w="3783"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适宜发展百合的区域，贫困户占比</w:t>
            </w:r>
            <w:r>
              <w:rPr>
                <w:rFonts w:ascii="仿宋_GB2312" w:hAnsi="仿宋_GB2312" w:eastAsia="仿宋_GB2312" w:cs="仿宋_GB2312"/>
                <w:sz w:val="24"/>
              </w:rPr>
              <w:t>30%</w:t>
            </w:r>
            <w:r>
              <w:rPr>
                <w:rFonts w:hint="eastAsia" w:ascii="仿宋_GB2312" w:hAnsi="仿宋_GB2312" w:eastAsia="仿宋_GB2312" w:cs="仿宋_GB2312"/>
                <w:sz w:val="24"/>
              </w:rPr>
              <w:t>以上的合作社相对集中连片</w:t>
            </w:r>
            <w:r>
              <w:rPr>
                <w:rFonts w:ascii="仿宋_GB2312" w:hAnsi="仿宋_GB2312" w:eastAsia="仿宋_GB2312" w:cs="仿宋_GB2312"/>
                <w:sz w:val="24"/>
              </w:rPr>
              <w:t>500</w:t>
            </w:r>
            <w:r>
              <w:rPr>
                <w:rFonts w:hint="eastAsia" w:ascii="仿宋_GB2312" w:hAnsi="仿宋_GB2312" w:eastAsia="仿宋_GB2312" w:cs="仿宋_GB2312"/>
                <w:sz w:val="24"/>
              </w:rPr>
              <w:t>亩以上</w:t>
            </w: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2018-2020</w:t>
            </w:r>
          </w:p>
        </w:tc>
        <w:tc>
          <w:tcPr>
            <w:tcW w:w="7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3</w:t>
            </w:r>
          </w:p>
        </w:tc>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12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1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sz w:val="24"/>
              </w:rPr>
            </w:pPr>
          </w:p>
        </w:tc>
      </w:tr>
      <w:tr>
        <w:tblPrEx>
          <w:tblLayout w:type="fixed"/>
          <w:tblCellMar>
            <w:top w:w="0" w:type="dxa"/>
            <w:left w:w="30" w:type="dxa"/>
            <w:bottom w:w="0" w:type="dxa"/>
            <w:right w:w="30" w:type="dxa"/>
          </w:tblCellMar>
        </w:tblPrEx>
        <w:trPr>
          <w:trHeight w:val="1563" w:hRule="atLeast"/>
        </w:trPr>
        <w:tc>
          <w:tcPr>
            <w:tcW w:w="568" w:type="dxa"/>
            <w:tcBorders>
              <w:top w:val="single" w:color="000000" w:sz="4" w:space="0"/>
              <w:left w:val="single" w:color="auto" w:sz="4" w:space="0"/>
              <w:bottom w:val="single" w:color="000000" w:sz="6" w:space="0"/>
              <w:right w:val="single" w:color="000000" w:sz="6"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3</w:t>
            </w:r>
          </w:p>
        </w:tc>
        <w:tc>
          <w:tcPr>
            <w:tcW w:w="2409" w:type="dxa"/>
            <w:tcBorders>
              <w:top w:val="single" w:color="000000" w:sz="4" w:space="0"/>
              <w:left w:val="single" w:color="000000" w:sz="6" w:space="0"/>
              <w:bottom w:val="single" w:color="000000" w:sz="6" w:space="0"/>
              <w:right w:val="single" w:color="000000" w:sz="6"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百合储藏保鲜库建设</w:t>
            </w:r>
          </w:p>
        </w:tc>
        <w:tc>
          <w:tcPr>
            <w:tcW w:w="830" w:type="dxa"/>
            <w:tcBorders>
              <w:top w:val="single" w:color="000000" w:sz="4" w:space="0"/>
              <w:left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新建</w:t>
            </w:r>
          </w:p>
        </w:tc>
        <w:tc>
          <w:tcPr>
            <w:tcW w:w="3783" w:type="dxa"/>
            <w:tcBorders>
              <w:top w:val="single" w:color="000000" w:sz="4" w:space="0"/>
              <w:left w:val="single" w:color="000000" w:sz="6" w:space="0"/>
              <w:bottom w:val="single" w:color="000000" w:sz="6" w:space="0"/>
              <w:right w:val="single" w:color="000000" w:sz="6"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支持专业大户、家庭农场、龙头企业、专业合作社等新型经营主体储藏能力在</w:t>
            </w:r>
            <w:r>
              <w:rPr>
                <w:rFonts w:ascii="仿宋_GB2312" w:hAnsi="仿宋_GB2312" w:eastAsia="仿宋_GB2312" w:cs="仿宋_GB2312"/>
                <w:sz w:val="24"/>
              </w:rPr>
              <w:t>500</w:t>
            </w:r>
            <w:r>
              <w:rPr>
                <w:rFonts w:hint="eastAsia" w:ascii="仿宋_GB2312" w:hAnsi="仿宋_GB2312" w:eastAsia="仿宋_GB2312" w:cs="仿宋_GB2312"/>
                <w:sz w:val="24"/>
              </w:rPr>
              <w:t>吨以上</w:t>
            </w:r>
          </w:p>
        </w:tc>
        <w:tc>
          <w:tcPr>
            <w:tcW w:w="1352" w:type="dxa"/>
            <w:tcBorders>
              <w:top w:val="single" w:color="000000" w:sz="4" w:space="0"/>
              <w:left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2018-2020</w:t>
            </w:r>
          </w:p>
        </w:tc>
        <w:tc>
          <w:tcPr>
            <w:tcW w:w="744" w:type="dxa"/>
            <w:tcBorders>
              <w:top w:val="single" w:color="000000" w:sz="4" w:space="0"/>
              <w:left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ascii="仿宋_GB2312" w:hAnsi="仿宋_GB2312" w:eastAsia="仿宋_GB2312" w:cs="仿宋_GB2312"/>
                <w:sz w:val="24"/>
              </w:rPr>
              <w:t>1500</w:t>
            </w:r>
            <w:r>
              <w:rPr>
                <w:rFonts w:hint="eastAsia" w:ascii="仿宋_GB2312" w:hAnsi="仿宋_GB2312" w:eastAsia="仿宋_GB2312" w:cs="仿宋_GB2312"/>
                <w:sz w:val="24"/>
              </w:rPr>
              <w:t>吨</w:t>
            </w:r>
            <w:r>
              <w:rPr>
                <w:rFonts w:hint="eastAsia" w:ascii="仿宋_GB2312" w:hAnsi="仿宋_GB2312" w:eastAsia="仿宋_GB2312" w:cs="仿宋_GB2312"/>
                <w:sz w:val="24"/>
                <w:lang w:val="en-US" w:eastAsia="zh-CN"/>
              </w:rPr>
              <w:t>）</w:t>
            </w:r>
          </w:p>
        </w:tc>
        <w:tc>
          <w:tcPr>
            <w:tcW w:w="955" w:type="dxa"/>
            <w:tcBorders>
              <w:top w:val="single" w:color="000000" w:sz="4" w:space="0"/>
              <w:left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1217" w:type="dxa"/>
            <w:tcBorders>
              <w:top w:val="single" w:color="000000" w:sz="4" w:space="0"/>
              <w:left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984" w:type="dxa"/>
            <w:tcBorders>
              <w:top w:val="single" w:color="000000" w:sz="4" w:space="0"/>
              <w:left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1425" w:type="dxa"/>
            <w:tcBorders>
              <w:top w:val="single" w:color="000000" w:sz="4" w:space="0"/>
              <w:left w:val="single" w:color="000000" w:sz="6" w:space="0"/>
              <w:bottom w:val="single" w:color="000000" w:sz="6" w:space="0"/>
              <w:right w:val="single" w:color="auto" w:sz="4" w:space="0"/>
            </w:tcBorders>
            <w:vAlign w:val="center"/>
          </w:tcPr>
          <w:p>
            <w:pPr>
              <w:jc w:val="center"/>
              <w:rPr>
                <w:rFonts w:ascii="仿宋_GB2312" w:hAnsi="仿宋_GB2312" w:eastAsia="仿宋_GB2312" w:cs="仿宋_GB2312"/>
                <w:sz w:val="24"/>
              </w:rPr>
            </w:pPr>
          </w:p>
        </w:tc>
      </w:tr>
      <w:tr>
        <w:tblPrEx>
          <w:tblLayout w:type="fixed"/>
          <w:tblCellMar>
            <w:top w:w="0" w:type="dxa"/>
            <w:left w:w="30" w:type="dxa"/>
            <w:bottom w:w="0" w:type="dxa"/>
            <w:right w:w="30" w:type="dxa"/>
          </w:tblCellMar>
        </w:tblPrEx>
        <w:trPr>
          <w:trHeight w:val="1191" w:hRule="atLeast"/>
        </w:trPr>
        <w:tc>
          <w:tcPr>
            <w:tcW w:w="568" w:type="dxa"/>
            <w:tcBorders>
              <w:top w:val="single" w:color="000000" w:sz="4" w:space="0"/>
              <w:left w:val="single" w:color="auto" w:sz="4" w:space="0"/>
              <w:bottom w:val="single" w:color="auto"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4</w:t>
            </w:r>
          </w:p>
        </w:tc>
        <w:tc>
          <w:tcPr>
            <w:tcW w:w="2409" w:type="dxa"/>
            <w:tcBorders>
              <w:top w:val="single" w:color="000000" w:sz="4" w:space="0"/>
              <w:left w:val="single" w:color="000000" w:sz="4" w:space="0"/>
              <w:bottom w:val="single" w:color="auto" w:sz="4" w:space="0"/>
              <w:right w:val="single" w:color="000000"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百合绿色高产高效创建示范点建设</w:t>
            </w:r>
          </w:p>
        </w:tc>
        <w:tc>
          <w:tcPr>
            <w:tcW w:w="830" w:type="dxa"/>
            <w:tcBorders>
              <w:top w:val="single" w:color="000000" w:sz="4" w:space="0"/>
              <w:left w:val="single" w:color="000000" w:sz="4" w:space="0"/>
              <w:bottom w:val="single" w:color="auto"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新建</w:t>
            </w:r>
          </w:p>
        </w:tc>
        <w:tc>
          <w:tcPr>
            <w:tcW w:w="3783" w:type="dxa"/>
            <w:tcBorders>
              <w:top w:val="single" w:color="000000" w:sz="4" w:space="0"/>
              <w:left w:val="single" w:color="000000" w:sz="4" w:space="0"/>
              <w:bottom w:val="single" w:color="auto" w:sz="4" w:space="0"/>
              <w:right w:val="single" w:color="000000"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百合绿色高产高效创建示范点</w:t>
            </w:r>
          </w:p>
        </w:tc>
        <w:tc>
          <w:tcPr>
            <w:tcW w:w="1352" w:type="dxa"/>
            <w:tcBorders>
              <w:top w:val="single" w:color="000000" w:sz="4" w:space="0"/>
              <w:left w:val="single" w:color="000000" w:sz="4" w:space="0"/>
              <w:bottom w:val="single" w:color="auto"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2018-2020</w:t>
            </w:r>
          </w:p>
        </w:tc>
        <w:tc>
          <w:tcPr>
            <w:tcW w:w="744" w:type="dxa"/>
            <w:tcBorders>
              <w:top w:val="single" w:color="000000" w:sz="4" w:space="0"/>
              <w:left w:val="single" w:color="000000" w:sz="4" w:space="0"/>
              <w:bottom w:val="single" w:color="auto" w:sz="4" w:space="0"/>
              <w:right w:val="single" w:color="000000"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955" w:type="dxa"/>
            <w:tcBorders>
              <w:top w:val="single" w:color="000000" w:sz="6" w:space="0"/>
              <w:left w:val="single" w:color="000000" w:sz="4" w:space="0"/>
              <w:bottom w:val="single" w:color="auto" w:sz="4" w:space="0"/>
              <w:right w:val="single" w:color="000000" w:sz="6"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1217" w:type="dxa"/>
            <w:tcBorders>
              <w:top w:val="single" w:color="000000" w:sz="6" w:space="0"/>
              <w:left w:val="single" w:color="000000" w:sz="6" w:space="0"/>
              <w:bottom w:val="single" w:color="auto" w:sz="4" w:space="0"/>
              <w:right w:val="single" w:color="000000" w:sz="6"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0</w:t>
            </w:r>
          </w:p>
        </w:tc>
        <w:tc>
          <w:tcPr>
            <w:tcW w:w="984" w:type="dxa"/>
            <w:tcBorders>
              <w:top w:val="single" w:color="000000" w:sz="6" w:space="0"/>
              <w:left w:val="single" w:color="000000" w:sz="6" w:space="0"/>
              <w:bottom w:val="single" w:color="auto" w:sz="4" w:space="0"/>
              <w:right w:val="single" w:color="000000" w:sz="6"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0</w:t>
            </w:r>
          </w:p>
        </w:tc>
        <w:tc>
          <w:tcPr>
            <w:tcW w:w="1425" w:type="dxa"/>
            <w:tcBorders>
              <w:top w:val="single" w:color="000000" w:sz="6" w:space="0"/>
              <w:left w:val="single" w:color="000000" w:sz="6"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bl>
    <w:p>
      <w:pPr>
        <w:spacing w:line="680" w:lineRule="exact"/>
        <w:rPr>
          <w:rFonts w:ascii="仿宋_GB2312" w:hAnsi="黑体" w:eastAsia="仿宋_GB2312" w:cs="黑体"/>
          <w:sz w:val="30"/>
          <w:szCs w:val="30"/>
        </w:rPr>
      </w:pPr>
      <w:r>
        <w:rPr>
          <w:rFonts w:hint="eastAsia" w:ascii="仿宋_GB2312" w:hAnsi="黑体" w:eastAsia="仿宋_GB2312" w:cs="黑体"/>
          <w:sz w:val="30"/>
          <w:szCs w:val="30"/>
        </w:rPr>
        <w:t>附表</w:t>
      </w:r>
      <w:r>
        <w:rPr>
          <w:rFonts w:ascii="仿宋_GB2312" w:hAnsi="黑体" w:eastAsia="仿宋_GB2312" w:cs="黑体"/>
          <w:sz w:val="30"/>
          <w:szCs w:val="30"/>
        </w:rPr>
        <w:t>3</w:t>
      </w:r>
      <w:r>
        <w:rPr>
          <w:rFonts w:hint="eastAsia" w:ascii="仿宋_GB2312" w:hAnsi="黑体" w:eastAsia="仿宋_GB2312" w:cs="黑体"/>
          <w:sz w:val="30"/>
          <w:szCs w:val="30"/>
        </w:rPr>
        <w:t>：</w:t>
      </w:r>
    </w:p>
    <w:p>
      <w:pPr>
        <w:tabs>
          <w:tab w:val="left" w:pos="7123"/>
        </w:tabs>
        <w:spacing w:line="640" w:lineRule="exact"/>
        <w:contextualSpacing/>
        <w:rPr>
          <w:rFonts w:ascii="仿宋_GB2312" w:hAnsi="宋体" w:eastAsia="仿宋_GB2312"/>
          <w:sz w:val="32"/>
          <w:szCs w:val="32"/>
        </w:rPr>
      </w:pPr>
    </w:p>
    <w:sectPr>
      <w:footerReference r:id="rId7" w:type="default"/>
      <w:pgSz w:w="16838" w:h="11906" w:orient="landscape"/>
      <w:pgMar w:top="1803" w:right="1440" w:bottom="1803" w:left="1440" w:header="851" w:footer="992" w:gutter="0"/>
      <w:pgNumType w:fmt="numberInDash" w:chapStyle="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Fonts w:ascii="仿宋_GB2312"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cs="宋体"/>
                              <w:szCs w:val="21"/>
                            </w:rPr>
                          </w:pPr>
                          <w:r>
                            <w:rPr>
                              <w:rFonts w:ascii="宋体" w:hAnsi="宋体" w:cs="宋体"/>
                              <w:szCs w:val="21"/>
                            </w:rPr>
                            <w:fldChar w:fldCharType="begin"/>
                          </w:r>
                          <w:r>
                            <w:rPr>
                              <w:rFonts w:ascii="宋体" w:hAnsi="宋体" w:cs="宋体"/>
                              <w:szCs w:val="21"/>
                            </w:rPr>
                            <w:instrText xml:space="preserve"> PAGE  \* MERGEFORMAT </w:instrText>
                          </w:r>
                          <w:r>
                            <w:rPr>
                              <w:rFonts w:ascii="宋体" w:hAnsi="宋体" w:cs="宋体"/>
                              <w:szCs w:val="21"/>
                            </w:rPr>
                            <w:fldChar w:fldCharType="separate"/>
                          </w:r>
                          <w:r>
                            <w:rPr>
                              <w:rFonts w:ascii="宋体" w:hAnsi="宋体" w:cs="宋体"/>
                              <w:szCs w:val="21"/>
                            </w:rPr>
                            <w:t>- 2 -</w:t>
                          </w:r>
                          <w:r>
                            <w:rPr>
                              <w:rFonts w:ascii="宋体" w:hAnsi="宋体" w:cs="宋体"/>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snapToGrid w:val="0"/>
                      <w:rPr>
                        <w:rFonts w:ascii="宋体" w:cs="宋体"/>
                        <w:szCs w:val="21"/>
                      </w:rPr>
                    </w:pPr>
                    <w:r>
                      <w:rPr>
                        <w:rFonts w:ascii="宋体" w:hAnsi="宋体" w:cs="宋体"/>
                        <w:szCs w:val="21"/>
                      </w:rPr>
                      <w:fldChar w:fldCharType="begin"/>
                    </w:r>
                    <w:r>
                      <w:rPr>
                        <w:rFonts w:ascii="宋体" w:hAnsi="宋体" w:cs="宋体"/>
                        <w:szCs w:val="21"/>
                      </w:rPr>
                      <w:instrText xml:space="preserve"> PAGE  \* MERGEFORMAT </w:instrText>
                    </w:r>
                    <w:r>
                      <w:rPr>
                        <w:rFonts w:ascii="宋体" w:hAnsi="宋体" w:cs="宋体"/>
                        <w:szCs w:val="21"/>
                      </w:rPr>
                      <w:fldChar w:fldCharType="separate"/>
                    </w:r>
                    <w:r>
                      <w:rPr>
                        <w:rFonts w:ascii="宋体" w:hAnsi="宋体" w:cs="宋体"/>
                        <w:szCs w:val="21"/>
                      </w:rPr>
                      <w:t>- 2 -</w:t>
                    </w:r>
                    <w:r>
                      <w:rPr>
                        <w:rFonts w:ascii="宋体" w:hAnsi="宋体" w:cs="宋体"/>
                        <w:szCs w:val="21"/>
                      </w:rPr>
                      <w:fldChar w:fldCharType="end"/>
                    </w:r>
                  </w:p>
                </w:txbxContent>
              </v:textbox>
            </v:shape>
          </w:pict>
        </mc:Fallback>
      </mc:AlternateContent>
    </w:r>
  </w:p>
  <w:p>
    <w:pPr>
      <w:pStyle w:val="3"/>
      <w:framePr w:wrap="around" w:vAnchor="text" w:hAnchor="margin" w:xAlign="right" w:y="1"/>
      <w:rPr>
        <w:rStyle w:val="7"/>
      </w:rPr>
    </w:pPr>
  </w:p>
  <w:p>
    <w:pPr>
      <w:pStyle w:val="3"/>
      <w:ind w:right="360"/>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Fonts w:ascii="仿宋_GB2312" w:eastAsia="仿宋_GB2312"/>
        <w:sz w:val="28"/>
        <w:szCs w:val="28"/>
      </w:rPr>
    </w:pPr>
  </w:p>
  <w:p>
    <w:pPr>
      <w:pStyle w:val="3"/>
      <w:framePr w:wrap="around" w:vAnchor="text" w:hAnchor="margin" w:xAlign="right" w:y="1"/>
      <w:rPr>
        <w:rStyle w:val="7"/>
      </w:rPr>
    </w:pPr>
  </w:p>
  <w:p>
    <w:pPr>
      <w:pStyle w:val="3"/>
      <w:ind w:right="360"/>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Fonts w:ascii="仿宋_GB2312" w:eastAsia="仿宋_GB2312"/>
        <w:sz w:val="28"/>
        <w:szCs w:val="28"/>
      </w:rPr>
    </w:pPr>
  </w:p>
  <w:p>
    <w:pPr>
      <w:pStyle w:val="3"/>
      <w:framePr w:wrap="around" w:vAnchor="text" w:hAnchor="margin" w:xAlign="right" w:y="1"/>
      <w:rPr>
        <w:rStyle w:val="7"/>
      </w:rPr>
    </w:pPr>
  </w:p>
  <w:p>
    <w:pPr>
      <w:pStyle w:val="3"/>
      <w:ind w:right="360"/>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9ED6"/>
    <w:multiLevelType w:val="singleLevel"/>
    <w:tmpl w:val="5A449ED6"/>
    <w:lvl w:ilvl="0" w:tentative="0">
      <w:start w:val="1"/>
      <w:numFmt w:val="chineseCounting"/>
      <w:suff w:val="nothing"/>
      <w:lvlText w:val="%1、"/>
      <w:lvlJc w:val="left"/>
      <w:rPr>
        <w:rFonts w:cs="Times New Roman"/>
      </w:rPr>
    </w:lvl>
  </w:abstractNum>
  <w:abstractNum w:abstractNumId="1">
    <w:nsid w:val="5A449F1B"/>
    <w:multiLevelType w:val="singleLevel"/>
    <w:tmpl w:val="5A449F1B"/>
    <w:lvl w:ilvl="0" w:tentative="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67208"/>
    <w:rsid w:val="00086DD9"/>
    <w:rsid w:val="000C0863"/>
    <w:rsid w:val="000E5BF6"/>
    <w:rsid w:val="00162597"/>
    <w:rsid w:val="00225C55"/>
    <w:rsid w:val="002F7C8D"/>
    <w:rsid w:val="00362998"/>
    <w:rsid w:val="00387A6B"/>
    <w:rsid w:val="003F4DFA"/>
    <w:rsid w:val="00402106"/>
    <w:rsid w:val="00414EA9"/>
    <w:rsid w:val="00436A70"/>
    <w:rsid w:val="004A20C4"/>
    <w:rsid w:val="004C7106"/>
    <w:rsid w:val="00622F4B"/>
    <w:rsid w:val="006E67A2"/>
    <w:rsid w:val="00773B77"/>
    <w:rsid w:val="00776D13"/>
    <w:rsid w:val="00786F73"/>
    <w:rsid w:val="00826C4B"/>
    <w:rsid w:val="008808B5"/>
    <w:rsid w:val="008D5F71"/>
    <w:rsid w:val="0098596C"/>
    <w:rsid w:val="00A16D9B"/>
    <w:rsid w:val="00A21BD3"/>
    <w:rsid w:val="00A97843"/>
    <w:rsid w:val="00AB3B48"/>
    <w:rsid w:val="00B2736B"/>
    <w:rsid w:val="00B53325"/>
    <w:rsid w:val="00B91F07"/>
    <w:rsid w:val="00BC23B9"/>
    <w:rsid w:val="00BD5BC5"/>
    <w:rsid w:val="00D019CD"/>
    <w:rsid w:val="00D13FF8"/>
    <w:rsid w:val="00D90066"/>
    <w:rsid w:val="00E60991"/>
    <w:rsid w:val="00EB6BC8"/>
    <w:rsid w:val="00F461F1"/>
    <w:rsid w:val="00F666FE"/>
    <w:rsid w:val="00F93059"/>
    <w:rsid w:val="069C082E"/>
    <w:rsid w:val="0F9028C4"/>
    <w:rsid w:val="2BE632E8"/>
    <w:rsid w:val="2FFE2856"/>
    <w:rsid w:val="3FA90784"/>
    <w:rsid w:val="4CB74056"/>
    <w:rsid w:val="588E6A77"/>
    <w:rsid w:val="71267208"/>
    <w:rsid w:val="753A4585"/>
    <w:rsid w:val="76A912CA"/>
    <w:rsid w:val="788848F0"/>
    <w:rsid w:val="7BDD7A60"/>
    <w:rsid w:val="7F3C4B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99"/>
    <w:pPr>
      <w:ind w:firstLine="200" w:firstLineChars="200"/>
    </w:pPr>
    <w:rPr>
      <w:rFonts w:ascii="Times New Roman" w:hAnsi="Times New Roman" w:eastAsia="楷体_GB2312"/>
      <w:sz w:val="3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bCs/>
    </w:rPr>
  </w:style>
  <w:style w:type="character" w:styleId="7">
    <w:name w:val="page number"/>
    <w:basedOn w:val="5"/>
    <w:qFormat/>
    <w:uiPriority w:val="99"/>
    <w:rPr>
      <w:rFonts w:cs="Times New Roman"/>
    </w:rPr>
  </w:style>
  <w:style w:type="character" w:customStyle="1" w:styleId="9">
    <w:name w:val="Body Text Indent Char"/>
    <w:basedOn w:val="5"/>
    <w:link w:val="2"/>
    <w:semiHidden/>
    <w:locked/>
    <w:uiPriority w:val="99"/>
    <w:rPr>
      <w:rFonts w:cs="Times New Roman"/>
      <w:sz w:val="24"/>
      <w:szCs w:val="24"/>
    </w:rPr>
  </w:style>
  <w:style w:type="character" w:customStyle="1" w:styleId="10">
    <w:name w:val="Footer Char"/>
    <w:basedOn w:val="5"/>
    <w:link w:val="3"/>
    <w:semiHidden/>
    <w:qFormat/>
    <w:locked/>
    <w:uiPriority w:val="99"/>
    <w:rPr>
      <w:rFonts w:cs="Times New Roman"/>
      <w:sz w:val="18"/>
      <w:szCs w:val="18"/>
    </w:rPr>
  </w:style>
  <w:style w:type="character" w:customStyle="1" w:styleId="11">
    <w:name w:val="Header Char"/>
    <w:basedOn w:val="5"/>
    <w:link w:val="4"/>
    <w:semiHidden/>
    <w:qFormat/>
    <w:locked/>
    <w:uiPriority w:val="99"/>
    <w:rPr>
      <w:rFonts w:cs="Times New Roman"/>
      <w:sz w:val="18"/>
      <w:szCs w:val="18"/>
    </w:rPr>
  </w:style>
  <w:style w:type="paragraph" w:customStyle="1" w:styleId="12">
    <w:name w:val="Char"/>
    <w:basedOn w:val="1"/>
    <w:qFormat/>
    <w:uiPriority w:val="99"/>
    <w:pPr>
      <w:widowControl/>
      <w:spacing w:after="160" w:line="240" w:lineRule="exact"/>
      <w:jc w:val="left"/>
    </w:pPr>
  </w:style>
  <w:style w:type="paragraph" w:customStyle="1" w:styleId="13">
    <w:name w:val="Normal (Web)1"/>
    <w:basedOn w:val="1"/>
    <w:next w:val="2"/>
    <w:qFormat/>
    <w:uiPriority w:val="99"/>
    <w:pPr>
      <w:widowControl/>
      <w:spacing w:before="100" w:beforeAutospacing="1" w:after="100" w:afterAutospacing="1"/>
      <w:jc w:val="left"/>
    </w:pPr>
    <w:rPr>
      <w:rFonts w:ascii="宋体" w:cs="宋体"/>
      <w:kern w:val="0"/>
      <w:sz w:val="24"/>
    </w:rPr>
  </w:style>
  <w:style w:type="character" w:customStyle="1" w:styleId="14">
    <w:name w:val="font41"/>
    <w:basedOn w:val="5"/>
    <w:qFormat/>
    <w:uiPriority w:val="99"/>
    <w:rPr>
      <w:rFonts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731</Words>
  <Characters>4167</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2018-02-22T09:47:00Z</dcterms:created>
  <dc:creator>Administrator</dc:creator>
  <cp:lastModifiedBy>Administrator</cp:lastModifiedBy>
  <cp:lastPrinted>2018-04-08T03:24:00Z</cp:lastPrinted>
  <dcterms:modified xsi:type="dcterms:W3CDTF">2018-04-11T02:12:45Z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