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240" w:lineRule="atLeast"/>
        <w:jc w:val="center"/>
        <w:rPr>
          <w:rStyle w:val="16"/>
          <w:rFonts w:hint="eastAsia" w:ascii="黑体" w:hAnsi="黑体" w:eastAsia="黑体" w:cs="黑体"/>
          <w:color w:val="191919"/>
          <w:sz w:val="40"/>
          <w:szCs w:val="40"/>
          <w:shd w:val="clear" w:color="auto" w:fill="FFFFFF"/>
        </w:rPr>
      </w:pPr>
      <w:r>
        <w:rPr>
          <w:rStyle w:val="16"/>
          <w:rFonts w:hint="eastAsia" w:ascii="黑体" w:hAnsi="黑体" w:eastAsia="黑体" w:cs="黑体"/>
          <w:color w:val="191919"/>
          <w:sz w:val="40"/>
          <w:szCs w:val="40"/>
          <w:shd w:val="clear" w:color="auto" w:fill="FFFFFF"/>
        </w:rPr>
        <w:t>临夏市</w:t>
      </w:r>
      <w:r>
        <w:rPr>
          <w:rStyle w:val="16"/>
          <w:rFonts w:hint="eastAsia" w:ascii="黑体" w:hAnsi="黑体" w:eastAsia="黑体" w:cs="黑体"/>
          <w:color w:val="191919"/>
          <w:sz w:val="40"/>
          <w:szCs w:val="40"/>
          <w:shd w:val="clear" w:color="auto" w:fill="FFFFFF"/>
        </w:rPr>
        <w:t>枹罕镇</w:t>
      </w:r>
      <w:r>
        <w:rPr>
          <w:rStyle w:val="16"/>
          <w:rFonts w:hint="eastAsia" w:ascii="黑体" w:hAnsi="黑体" w:eastAsia="黑体" w:cs="黑体"/>
          <w:color w:val="191919"/>
          <w:sz w:val="40"/>
          <w:szCs w:val="40"/>
          <w:shd w:val="clear" w:color="auto" w:fill="FFFFFF"/>
        </w:rPr>
        <w:t>聂家村、罗家堡村村庄规划</w:t>
      </w:r>
    </w:p>
    <w:p>
      <w:pPr>
        <w:spacing w:before="156" w:beforeLines="50" w:after="156" w:afterLines="50" w:line="240" w:lineRule="atLeast"/>
        <w:jc w:val="center"/>
        <w:rPr>
          <w:rStyle w:val="16"/>
          <w:rFonts w:hint="eastAsia" w:ascii="黑体" w:hAnsi="黑体" w:eastAsia="黑体" w:cs="黑体"/>
          <w:color w:val="191919"/>
          <w:sz w:val="32"/>
          <w:szCs w:val="32"/>
          <w:shd w:val="clear" w:color="auto" w:fill="FFFFFF"/>
        </w:rPr>
      </w:pPr>
      <w:r>
        <w:rPr>
          <w:rStyle w:val="16"/>
          <w:rFonts w:hint="eastAsia" w:ascii="黑体" w:hAnsi="黑体" w:eastAsia="黑体" w:cs="黑体"/>
          <w:color w:val="191919"/>
          <w:sz w:val="40"/>
          <w:szCs w:val="40"/>
          <w:shd w:val="clear" w:color="auto" w:fill="FFFFFF"/>
        </w:rPr>
        <w:t>（2019—20</w:t>
      </w:r>
      <w:r>
        <w:rPr>
          <w:rStyle w:val="16"/>
          <w:rFonts w:hint="eastAsia" w:ascii="黑体" w:hAnsi="黑体" w:eastAsia="黑体" w:cs="黑体"/>
          <w:color w:val="191919"/>
          <w:sz w:val="40"/>
          <w:szCs w:val="40"/>
          <w:shd w:val="clear" w:color="auto" w:fill="FFFFFF"/>
          <w:lang w:val="en-US" w:eastAsia="zh-CN"/>
        </w:rPr>
        <w:t>3</w:t>
      </w:r>
      <w:r>
        <w:rPr>
          <w:rStyle w:val="16"/>
          <w:rFonts w:hint="eastAsia" w:ascii="黑体" w:hAnsi="黑体" w:eastAsia="黑体" w:cs="黑体"/>
          <w:color w:val="191919"/>
          <w:sz w:val="40"/>
          <w:szCs w:val="40"/>
          <w:shd w:val="clear" w:color="auto" w:fill="FFFFFF"/>
        </w:rPr>
        <w:t>5）公示内容</w:t>
      </w:r>
    </w:p>
    <w:p>
      <w:pPr>
        <w:pStyle w:val="3"/>
        <w:keepNext/>
        <w:keepLines/>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left"/>
        <w:textAlignment w:val="auto"/>
        <w:outlineLvl w:val="0"/>
        <w:rPr>
          <w:rFonts w:hint="eastAsia"/>
          <w:sz w:val="32"/>
          <w:szCs w:val="32"/>
        </w:rPr>
      </w:pPr>
      <w:bookmarkStart w:id="0" w:name="_Toc17202"/>
      <w:bookmarkStart w:id="1" w:name="_Toc850"/>
      <w:bookmarkStart w:id="2" w:name="_Toc31521"/>
      <w:r>
        <w:rPr>
          <w:rFonts w:hint="eastAsia"/>
          <w:sz w:val="32"/>
          <w:szCs w:val="32"/>
        </w:rPr>
        <w:t>规划总则</w:t>
      </w:r>
      <w:bookmarkEnd w:id="0"/>
      <w:bookmarkEnd w:id="1"/>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eastAsia="zh-CN"/>
        </w:rPr>
      </w:pPr>
      <w:bookmarkStart w:id="3" w:name="_Toc1091"/>
      <w:bookmarkStart w:id="4" w:name="_Toc27360"/>
      <w:r>
        <w:rPr>
          <w:rFonts w:hint="eastAsia"/>
          <w:sz w:val="28"/>
          <w:szCs w:val="28"/>
          <w:lang w:eastAsia="zh-CN"/>
        </w:rPr>
        <w:t>地位作用</w:t>
      </w:r>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村庄规划是国土空间规划体系中城镇开发边界外的乡村地区的详细规划，是按照“多规合一”的要求，以上位国土空间规划为依据编制的村级实用性规划，是管理村域国土空间开发保护、实施国土空间用途管制、核发乡村建设规划许可的法定依据。</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eastAsia="zh-CN"/>
        </w:rPr>
      </w:pPr>
      <w:bookmarkStart w:id="5" w:name="_Toc26786"/>
      <w:bookmarkStart w:id="6" w:name="_Toc8235"/>
      <w:r>
        <w:rPr>
          <w:rFonts w:hint="eastAsia"/>
          <w:sz w:val="28"/>
          <w:szCs w:val="28"/>
          <w:lang w:eastAsia="zh-CN"/>
        </w:rPr>
        <w:t>指导思想</w:t>
      </w:r>
      <w:bookmarkEnd w:id="5"/>
      <w:bookmarkEnd w:id="6"/>
      <w:bookmarkStart w:id="75" w:name="_GoBack"/>
      <w:bookmarkEnd w:id="7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全面贯彻落实当的十九大会议精神，</w:t>
      </w:r>
      <w:r>
        <w:rPr>
          <w:rFonts w:hint="default"/>
          <w:sz w:val="24"/>
          <w:szCs w:val="24"/>
          <w:lang w:val="en-US" w:eastAsia="zh-CN"/>
        </w:rPr>
        <w:t>以习近平生态文明思想为指导，坚持以人民为中心，贯彻实施乡村振兴战略，以改善农村人居环境、助力脱贫攻坚、保护生态环境、规范农村各项国土空间利用为目标，以国土空间用途管制为抓手，科</w:t>
      </w:r>
      <w:r>
        <w:rPr>
          <w:rFonts w:hint="eastAsia"/>
          <w:sz w:val="24"/>
          <w:szCs w:val="24"/>
          <w:lang w:val="en-US" w:eastAsia="zh-CN"/>
        </w:rPr>
        <w:t>学指导村庄规划编制工作。</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eastAsia="zh-CN"/>
        </w:rPr>
      </w:pPr>
      <w:bookmarkStart w:id="7" w:name="_Toc7199"/>
      <w:bookmarkStart w:id="8" w:name="_Toc531708000"/>
      <w:bookmarkStart w:id="9" w:name="_Toc296"/>
      <w:r>
        <w:rPr>
          <w:rFonts w:hint="eastAsia"/>
          <w:sz w:val="28"/>
          <w:szCs w:val="28"/>
          <w:lang w:eastAsia="zh-CN"/>
        </w:rPr>
        <w:t>规划原则</w:t>
      </w:r>
      <w:bookmarkEnd w:id="7"/>
      <w:bookmarkEnd w:id="8"/>
      <w:bookmarkEnd w:id="9"/>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10" w:name="_Toc12750"/>
      <w:r>
        <w:rPr>
          <w:rFonts w:hint="eastAsia"/>
          <w:sz w:val="24"/>
          <w:szCs w:val="24"/>
          <w:lang w:val="en-US" w:eastAsia="zh-CN"/>
        </w:rPr>
        <w:t>多规合一、统筹安排</w:t>
      </w:r>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在上位国土空间规划指导下，按照生态环境不破坏、耕地保有量不减少、建设用地规模不增加的要求，充分衔接环境保护、产业发展、村镇建设等相关规划，合理确定发展定位，统筹安排村域环境保护、文化传承、产业发展，以及基础设施和公共服务设施、农村居民点建设等各类空间。</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11" w:name="_Toc336"/>
      <w:r>
        <w:rPr>
          <w:rFonts w:hint="eastAsia"/>
          <w:sz w:val="24"/>
          <w:szCs w:val="24"/>
          <w:lang w:val="en-US" w:eastAsia="zh-CN"/>
        </w:rPr>
        <w:t>保护生态、传承文化</w:t>
      </w:r>
      <w:bookmarkEnd w:id="1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强化对各类生态保护地、人文历史景观、地质遗迹和水源涵养区等的保护。按照尊重和顺应自然的要求，加强生态环境保护和修复。保护优质耕地、林盘和农耕文化， 保留乡村特有的建筑风貌、农业景观、乡土文化。整体推进山水林田湖草综合整治， 促进人与自然和谐发展。</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12" w:name="_Toc31386"/>
      <w:r>
        <w:rPr>
          <w:rFonts w:hint="eastAsia"/>
          <w:sz w:val="24"/>
          <w:szCs w:val="24"/>
          <w:lang w:val="en-US" w:eastAsia="zh-CN"/>
        </w:rPr>
        <w:t>优化布局、节约集约</w:t>
      </w:r>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统筹安排村域生产、生活、生态空间，优化农村国土空间保护利用格局。结合旧村改造与新农村建设工作，引导散居农户向新村聚居点适度集中，提升农村土地资源节约集约利用水平。合理安排农村居民点建筑布局，推动形成“小规模、组团式、微田园、生态化”的建设格局。</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13" w:name="_Toc29372"/>
      <w:r>
        <w:rPr>
          <w:rFonts w:hint="eastAsia"/>
          <w:sz w:val="24"/>
          <w:szCs w:val="24"/>
          <w:lang w:val="en-US" w:eastAsia="zh-CN"/>
        </w:rPr>
        <w:t>体现民意、突出特色</w:t>
      </w:r>
      <w:bookmarkEnd w:id="1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尊重村民主体地位，充分征求群众意见，保障村民的知情权、参与权和监督权， 把维护农民群众根本利益、促进农民共同富裕作为出发点和落脚点。在严格保护的基础上，充分利用村域自然环境和文化要素，营造具有地方特点的空间环境，突出当地的历史文化和乡村风貌特色。</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eastAsia="zh-CN"/>
        </w:rPr>
      </w:pPr>
      <w:bookmarkStart w:id="14" w:name="_Toc27904"/>
      <w:bookmarkStart w:id="15" w:name="_Toc19462"/>
      <w:bookmarkStart w:id="16" w:name="_Toc531707999"/>
      <w:r>
        <w:rPr>
          <w:rFonts w:hint="eastAsia"/>
          <w:sz w:val="28"/>
          <w:szCs w:val="28"/>
          <w:lang w:eastAsia="zh-CN"/>
        </w:rPr>
        <w:t>规划依据</w:t>
      </w:r>
      <w:bookmarkEnd w:id="14"/>
      <w:bookmarkEnd w:id="15"/>
      <w:bookmarkEnd w:id="16"/>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17" w:name="_Toc29190"/>
      <w:r>
        <w:rPr>
          <w:rFonts w:hint="eastAsia"/>
          <w:sz w:val="24"/>
          <w:szCs w:val="24"/>
          <w:lang w:val="en-US" w:eastAsia="zh-CN"/>
        </w:rPr>
        <w:t>法律、法规</w:t>
      </w:r>
      <w:bookmarkEnd w:id="1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《中华人民共和国城乡规划法》</w:t>
      </w:r>
      <w:r>
        <w:rPr>
          <w:rFonts w:hint="eastAsia" w:ascii="宋体" w:hAnsi="宋体" w:eastAsia="宋体" w:cs="宋体"/>
          <w:sz w:val="24"/>
          <w:szCs w:val="24"/>
          <w:lang w:val="en-US" w:eastAsia="zh-CN"/>
        </w:rPr>
        <w:t>（2019修正）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《中华人民共和国土地管理法》</w:t>
      </w:r>
      <w:r>
        <w:rPr>
          <w:rFonts w:hint="eastAsia" w:ascii="宋体" w:hAnsi="宋体" w:eastAsia="宋体" w:cs="宋体"/>
          <w:sz w:val="24"/>
          <w:szCs w:val="24"/>
          <w:lang w:val="en-US" w:eastAsia="zh-CN"/>
        </w:rPr>
        <w:t>（2004）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《中华人民共和国环境保护法》</w:t>
      </w:r>
      <w:r>
        <w:rPr>
          <w:rFonts w:hint="eastAsia" w:ascii="宋体" w:hAnsi="宋体" w:eastAsia="宋体" w:cs="宋体"/>
          <w:sz w:val="24"/>
          <w:szCs w:val="24"/>
          <w:lang w:val="en-US" w:eastAsia="zh-CN"/>
        </w:rPr>
        <w:t>（2015）</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18" w:name="_Toc17824"/>
      <w:r>
        <w:rPr>
          <w:rFonts w:hint="eastAsia"/>
          <w:sz w:val="24"/>
          <w:szCs w:val="24"/>
          <w:lang w:val="en-US" w:eastAsia="zh-CN"/>
        </w:rPr>
        <w:t>部门规章、地方法规</w:t>
      </w:r>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（1）《村镇规划编制办法（试行）》（2000）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（2）《甘肃省城乡规划条例》（2018）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（3）《村庄整治规划编制办法》（2013）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（4）《甘肃省乡村规划编制导则（试行）》（2016）</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19" w:name="_Toc10358"/>
      <w:r>
        <w:rPr>
          <w:rFonts w:hint="eastAsia"/>
          <w:sz w:val="24"/>
          <w:szCs w:val="24"/>
          <w:lang w:val="en-US" w:eastAsia="zh-CN"/>
        </w:rPr>
        <w:t>技术规范、规划、指导文件</w:t>
      </w:r>
      <w:bookmarkEnd w:id="1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（1）《村庄规划用地分类指南》（2014）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（2）《村庄整治技术规范》（2008）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（3）《少数民族特色村镇保护“十三五”规划》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（4）中共中央办公厅、国务院办公厅印发《农村人民环境整治三年行动方案》（2018年2月）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（5）中共中央、国务院《关于建立国土空间规划体系并监督实施的若干意见》（2019年5月9日）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（6）甘肃省人民政府办公厅印发《甘肃省加快推进生态文明建设实施方案》（2016）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（7）中共甘肃省委甘肃省人民政府关于实施乡村振兴战略的若干意见（2018.4）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（8）《乡村振兴战略规划（2018-2022年）》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（9）《临夏市国民经济和社会发展十三五规划》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（10）《临夏市临夏县城市总体规划（2016-2030）》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（11）《临夏市控制性详细规划》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（12）《临夏市</w:t>
      </w:r>
      <w:r>
        <w:rPr>
          <w:rFonts w:hint="default" w:ascii="宋体" w:hAnsi="宋体" w:eastAsia="宋体" w:cs="宋体"/>
          <w:sz w:val="24"/>
          <w:szCs w:val="24"/>
          <w:lang w:val="en-US" w:eastAsia="zh-CN"/>
        </w:rPr>
        <w:t>枹罕镇</w:t>
      </w:r>
      <w:r>
        <w:rPr>
          <w:rFonts w:hint="eastAsia" w:ascii="宋体" w:hAnsi="宋体" w:eastAsia="宋体" w:cs="宋体"/>
          <w:sz w:val="24"/>
          <w:szCs w:val="24"/>
          <w:lang w:val="en-US" w:eastAsia="zh-CN"/>
        </w:rPr>
        <w:t>土地利用总体规划（2010-2020）》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（13）《临夏市</w:t>
      </w:r>
      <w:r>
        <w:rPr>
          <w:rFonts w:hint="default" w:ascii="宋体" w:hAnsi="宋体" w:eastAsia="宋体" w:cs="宋体"/>
          <w:sz w:val="24"/>
          <w:szCs w:val="24"/>
          <w:lang w:val="en-US" w:eastAsia="zh-CN"/>
        </w:rPr>
        <w:t>枹罕镇</w:t>
      </w:r>
      <w:r>
        <w:rPr>
          <w:rFonts w:hint="eastAsia" w:ascii="宋体" w:hAnsi="宋体" w:eastAsia="宋体" w:cs="宋体"/>
          <w:sz w:val="24"/>
          <w:szCs w:val="24"/>
          <w:lang w:val="en-US" w:eastAsia="zh-CN"/>
        </w:rPr>
        <w:t>总体规划（2017-2030）》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（14）村庄精准扶贫精准脱贫工作总结</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eastAsia="zh-CN"/>
        </w:rPr>
      </w:pPr>
      <w:bookmarkStart w:id="20" w:name="_Toc19551"/>
      <w:bookmarkStart w:id="21" w:name="_Toc7092"/>
      <w:bookmarkStart w:id="22" w:name="_Toc26350"/>
      <w:r>
        <w:rPr>
          <w:rFonts w:hint="eastAsia"/>
          <w:sz w:val="28"/>
          <w:szCs w:val="28"/>
          <w:lang w:eastAsia="zh-CN"/>
        </w:rPr>
        <w:t>规划</w:t>
      </w:r>
      <w:bookmarkEnd w:id="20"/>
      <w:r>
        <w:rPr>
          <w:rFonts w:hint="eastAsia"/>
          <w:sz w:val="28"/>
          <w:szCs w:val="28"/>
          <w:lang w:eastAsia="zh-CN"/>
        </w:rPr>
        <w:t>范围与期限</w:t>
      </w:r>
      <w:bookmarkEnd w:id="21"/>
      <w:bookmarkEnd w:id="22"/>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23" w:name="_Toc4268"/>
      <w:r>
        <w:rPr>
          <w:rFonts w:hint="eastAsia"/>
          <w:sz w:val="24"/>
          <w:szCs w:val="24"/>
          <w:lang w:val="en-US" w:eastAsia="zh-CN"/>
        </w:rPr>
        <w:t>规划范围</w:t>
      </w:r>
      <w:bookmarkEnd w:id="2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规划范围为聂家村和罗家堡村行政辖区范围全部土地，总面积为4.98平方公里。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其中聂家村1.78平方公里；罗家堡村3.20平方公里（2.68平方公里纳入城市建设，</w:t>
      </w:r>
      <w:r>
        <w:rPr>
          <w:rFonts w:hint="default" w:ascii="宋体" w:hAnsi="宋体" w:eastAsia="宋体" w:cs="宋体"/>
          <w:sz w:val="24"/>
          <w:szCs w:val="24"/>
          <w:lang w:val="en-US" w:eastAsia="zh-CN"/>
        </w:rPr>
        <w:t>规划中将不再进行具体规划</w:t>
      </w:r>
      <w:r>
        <w:rPr>
          <w:rFonts w:hint="eastAsia" w:ascii="宋体" w:hAnsi="宋体" w:eastAsia="宋体" w:cs="宋体"/>
          <w:sz w:val="24"/>
          <w:szCs w:val="24"/>
          <w:lang w:val="en-US" w:eastAsia="zh-CN"/>
        </w:rPr>
        <w:t>，实际剩余面积为0.52平方公里），固本次村庄规划实际总面积2.30平方公里。</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24" w:name="_Toc8160"/>
      <w:r>
        <w:rPr>
          <w:rFonts w:hint="eastAsia"/>
          <w:sz w:val="24"/>
          <w:szCs w:val="24"/>
          <w:lang w:val="en-US" w:eastAsia="zh-CN"/>
        </w:rPr>
        <w:t>规划期限</w:t>
      </w:r>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规划期限与国土空间规划编制期限保持一致。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规划期限为2019-2035年，规划基期年为2018年。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近期：2019-2025年，远期：2025-2035年。</w:t>
      </w:r>
    </w:p>
    <w:bookmarkEnd w:id="2"/>
    <w:p>
      <w:pPr>
        <w:pStyle w:val="3"/>
        <w:keepNext/>
        <w:keepLines/>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left"/>
        <w:textAlignment w:val="auto"/>
        <w:outlineLvl w:val="0"/>
        <w:rPr>
          <w:rFonts w:hint="eastAsia"/>
          <w:sz w:val="32"/>
          <w:szCs w:val="32"/>
          <w:lang w:val="en-US" w:eastAsia="zh-CN"/>
        </w:rPr>
      </w:pPr>
      <w:bookmarkStart w:id="25" w:name="_Toc28130"/>
      <w:bookmarkStart w:id="26" w:name="_Toc12230"/>
      <w:r>
        <w:rPr>
          <w:rFonts w:hint="eastAsia"/>
          <w:sz w:val="32"/>
          <w:szCs w:val="32"/>
          <w:lang w:val="en-US" w:eastAsia="zh-CN"/>
        </w:rPr>
        <w:t>目标定位与规模确定</w:t>
      </w:r>
      <w:bookmarkEnd w:id="25"/>
      <w:bookmarkEnd w:id="26"/>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27" w:name="_Toc23111"/>
      <w:bookmarkStart w:id="28" w:name="_Toc20275"/>
      <w:r>
        <w:rPr>
          <w:rFonts w:hint="eastAsia"/>
          <w:sz w:val="28"/>
          <w:szCs w:val="28"/>
          <w:lang w:val="en-US" w:eastAsia="zh-CN"/>
        </w:rPr>
        <w:t>规划目标</w:t>
      </w:r>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b/>
          <w:bCs/>
          <w:sz w:val="24"/>
          <w:szCs w:val="24"/>
          <w:lang w:val="en-US" w:eastAsia="zh-CN"/>
        </w:rPr>
      </w:pPr>
      <w:r>
        <w:rPr>
          <w:rFonts w:hint="eastAsia"/>
          <w:sz w:val="24"/>
          <w:szCs w:val="24"/>
          <w:lang w:val="en-US" w:eastAsia="zh-CN"/>
        </w:rPr>
        <w:t>坚持把改善农村人居环境、基础设施、产业提升、农民增收和精神文明等建设工作统筹考虑，按照科学规划布局美、村容整洁环境美、创业增收生活美、乡风文明身心美、社会和谐服务美的总体目标要求，通过对村庄实施产业转型升级、建筑提升整治、道路改造整治、公共设施建设、市政管线建设等综合整治使村庄整体环境得到明显改善，</w:t>
      </w:r>
      <w:r>
        <w:rPr>
          <w:rFonts w:hint="eastAsia"/>
          <w:b/>
          <w:bCs/>
          <w:sz w:val="24"/>
          <w:szCs w:val="24"/>
          <w:lang w:val="en-US" w:eastAsia="zh-CN"/>
        </w:rPr>
        <w:t>最终努力将村庄建设成为：“公共服务便利、村容村貌整洁、生态环境优美、生活富裕和谐”的宜居、宜业、宜游美丽村庄。</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29" w:name="_Toc11106"/>
      <w:bookmarkStart w:id="30" w:name="_Toc22718"/>
      <w:bookmarkStart w:id="31" w:name="_Toc15700"/>
      <w:r>
        <w:rPr>
          <w:rFonts w:hint="eastAsia"/>
          <w:sz w:val="28"/>
          <w:szCs w:val="28"/>
          <w:lang w:val="en-US" w:eastAsia="zh-CN"/>
        </w:rPr>
        <w:t>规划定位</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b/>
          <w:bCs/>
          <w:sz w:val="24"/>
          <w:szCs w:val="24"/>
          <w:lang w:val="en-US" w:eastAsia="zh-CN"/>
        </w:rPr>
      </w:pPr>
      <w:r>
        <w:rPr>
          <w:rFonts w:hint="eastAsia"/>
          <w:sz w:val="24"/>
          <w:szCs w:val="24"/>
          <w:lang w:val="en-US" w:eastAsia="zh-CN"/>
        </w:rPr>
        <w:t>规划将村庄发展定位为：</w:t>
      </w:r>
      <w:r>
        <w:rPr>
          <w:rFonts w:hint="eastAsia"/>
          <w:b/>
          <w:bCs/>
          <w:sz w:val="24"/>
          <w:szCs w:val="24"/>
          <w:lang w:val="en-US" w:eastAsia="zh-CN"/>
        </w:rPr>
        <w:t>以现代种植业、养殖加工业为主，以乡村休闲旅游业为辅的城乡融合型特色民族村庄。</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32" w:name="_Toc29269"/>
      <w:bookmarkStart w:id="33" w:name="_Toc18787"/>
      <w:bookmarkStart w:id="34" w:name="_Toc531708021"/>
      <w:r>
        <w:rPr>
          <w:rFonts w:hint="eastAsia"/>
          <w:sz w:val="28"/>
          <w:szCs w:val="28"/>
          <w:lang w:val="en-US" w:eastAsia="zh-CN"/>
        </w:rPr>
        <w:t>规划策略</w:t>
      </w:r>
      <w:bookmarkEnd w:id="32"/>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规划以充分和扎实的现场调研为基础，以人为核心，以实现生态宜居、生活富裕、产业兴旺为主旨，通过整治改造、改善提升、特色塑造等一系列技术手段来实现规划目标。</w:t>
      </w:r>
    </w:p>
    <w:p>
      <w:pPr>
        <w:spacing w:line="360" w:lineRule="auto"/>
        <w:jc w:val="center"/>
        <w:rPr>
          <w:rFonts w:hint="eastAsia" w:asciiTheme="minorEastAsia" w:hAnsiTheme="minorEastAsia"/>
          <w:b/>
          <w:bCs/>
          <w:sz w:val="28"/>
          <w:szCs w:val="28"/>
        </w:rPr>
      </w:pPr>
      <w:r>
        <w:drawing>
          <wp:inline distT="0" distB="0" distL="0" distR="0">
            <wp:extent cx="5857240" cy="5311775"/>
            <wp:effectExtent l="0" t="0" r="10160" b="31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
                    <a:stretch>
                      <a:fillRect/>
                    </a:stretch>
                  </pic:blipFill>
                  <pic:spPr>
                    <a:xfrm>
                      <a:off x="0" y="0"/>
                      <a:ext cx="5857240" cy="531177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35" w:name="_Toc531708023"/>
      <w:bookmarkStart w:id="36" w:name="_Toc27349"/>
      <w:bookmarkStart w:id="37" w:name="_Toc5250"/>
      <w:r>
        <w:rPr>
          <w:rFonts w:hint="eastAsia"/>
          <w:sz w:val="28"/>
          <w:szCs w:val="28"/>
          <w:lang w:val="en-US" w:eastAsia="zh-CN"/>
        </w:rPr>
        <w:t>村庄</w:t>
      </w:r>
      <w:bookmarkEnd w:id="35"/>
      <w:r>
        <w:rPr>
          <w:rFonts w:hint="eastAsia"/>
          <w:sz w:val="28"/>
          <w:szCs w:val="28"/>
          <w:lang w:val="en-US" w:eastAsia="zh-CN"/>
        </w:rPr>
        <w:t>规模</w:t>
      </w:r>
      <w:bookmarkEnd w:id="36"/>
      <w:bookmarkEnd w:id="37"/>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38" w:name="_Toc30834"/>
      <w:bookmarkStart w:id="39" w:name="_Toc531708024"/>
      <w:r>
        <w:rPr>
          <w:rFonts w:hint="eastAsia"/>
          <w:sz w:val="24"/>
          <w:szCs w:val="24"/>
          <w:lang w:val="en-US" w:eastAsia="zh-CN"/>
        </w:rPr>
        <w:t>人口规模</w:t>
      </w:r>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综合预测规划至2025年，村庄常住人口规模为2600人。</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40" w:name="_Toc531708025"/>
      <w:bookmarkStart w:id="41" w:name="_Toc808"/>
      <w:r>
        <w:rPr>
          <w:rFonts w:hint="eastAsia"/>
          <w:sz w:val="24"/>
          <w:szCs w:val="24"/>
          <w:lang w:val="en-US" w:eastAsia="zh-CN"/>
        </w:rPr>
        <w:t>用地规模</w:t>
      </w:r>
      <w:bookmarkEnd w:id="40"/>
      <w:bookmarkEnd w:id="4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于罗家堡村为融入城区型村庄，现有村庄用地大部分已纳入临夏市主城区范围，按照城市总体规划建设执行，本次村庄规划仅做近期整治引导，不在进行具体用地布局等的规划。固规划村庄控制用地面积为230公顷。</w:t>
      </w:r>
    </w:p>
    <w:p>
      <w:pPr>
        <w:pStyle w:val="3"/>
        <w:keepNext/>
        <w:keepLines/>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left"/>
        <w:textAlignment w:val="auto"/>
        <w:outlineLvl w:val="0"/>
        <w:rPr>
          <w:rFonts w:hint="eastAsia"/>
          <w:sz w:val="32"/>
          <w:szCs w:val="32"/>
          <w:lang w:val="en-US" w:eastAsia="zh-CN"/>
        </w:rPr>
      </w:pPr>
      <w:bookmarkStart w:id="42" w:name="_Toc27691"/>
      <w:bookmarkStart w:id="43" w:name="_Toc14778"/>
      <w:r>
        <w:rPr>
          <w:rFonts w:hint="eastAsia"/>
          <w:sz w:val="32"/>
          <w:szCs w:val="32"/>
          <w:lang w:val="en-US" w:eastAsia="zh-CN"/>
        </w:rPr>
        <w:t>村域国土空间布局与用途管制规划</w:t>
      </w:r>
      <w:bookmarkEnd w:id="42"/>
      <w:bookmarkEnd w:id="43"/>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44" w:name="_Toc19280"/>
      <w:bookmarkStart w:id="45" w:name="_Toc531708031"/>
      <w:bookmarkStart w:id="46" w:name="_Toc20384"/>
      <w:r>
        <w:rPr>
          <w:rFonts w:hint="eastAsia"/>
          <w:sz w:val="28"/>
          <w:szCs w:val="28"/>
          <w:lang w:val="en-US" w:eastAsia="zh-CN"/>
        </w:rPr>
        <w:t>布局原则</w:t>
      </w:r>
      <w:bookmarkEnd w:id="44"/>
      <w:bookmarkEnd w:id="45"/>
      <w:bookmarkEnd w:id="46"/>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default"/>
          <w:sz w:val="24"/>
          <w:szCs w:val="24"/>
          <w:lang w:val="en-US" w:eastAsia="zh-CN"/>
        </w:rPr>
      </w:pPr>
      <w:bookmarkStart w:id="47" w:name="_Toc23539"/>
      <w:r>
        <w:rPr>
          <w:rFonts w:hint="default"/>
          <w:sz w:val="24"/>
          <w:szCs w:val="24"/>
          <w:lang w:val="en-US" w:eastAsia="zh-CN"/>
        </w:rPr>
        <w:t>落实管控要求</w:t>
      </w:r>
      <w:bookmarkEnd w:id="4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落实上位国土空间规划的各项控制性指标，落实生态保护红线、永久基本农田、各类自然保护地、生态公益林等禁止或限制开发建设的区域，对接永久基本农田储备区、粮食生产功能区和重要农产品生产保护区划定工作。</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default"/>
          <w:sz w:val="24"/>
          <w:szCs w:val="24"/>
          <w:lang w:val="en-US" w:eastAsia="zh-CN"/>
        </w:rPr>
      </w:pPr>
      <w:bookmarkStart w:id="48" w:name="_Toc7247"/>
      <w:r>
        <w:rPr>
          <w:rFonts w:hint="default"/>
          <w:sz w:val="24"/>
          <w:szCs w:val="24"/>
          <w:lang w:val="en-US" w:eastAsia="zh-CN"/>
        </w:rPr>
        <w:t>优化调整布局</w:t>
      </w:r>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统筹住房布局、产业发展、道路交通、公共和基础设施、生态保护修复和综合整治、防灾减灾、历史文化及特色风貌保护等内容，优化调整国土空间布局，从严控制各项建设占用耕地特别是优质耕地。</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49" w:name="_Toc20204"/>
      <w:r>
        <w:rPr>
          <w:rFonts w:hint="default"/>
          <w:sz w:val="24"/>
          <w:szCs w:val="24"/>
          <w:lang w:val="en-US" w:eastAsia="zh-CN"/>
        </w:rPr>
        <w:t>制定管制规则</w:t>
      </w:r>
      <w:bookmarkEnd w:id="4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按照上位国土空间规划用途管制规则、现行法律法规及相关政策，结合村庄未来发展和村民意愿，制定村庄国土空间用途管制规则，形成全体村民共同遵守、相互监督执行的村规民约。</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50" w:name="_Toc12532"/>
      <w:bookmarkStart w:id="51" w:name="_Toc25963"/>
      <w:r>
        <w:rPr>
          <w:rFonts w:hint="eastAsia"/>
          <w:sz w:val="28"/>
          <w:szCs w:val="28"/>
          <w:lang w:val="en-US" w:eastAsia="zh-CN"/>
        </w:rPr>
        <w:t>用地布局</w:t>
      </w:r>
      <w:bookmarkEnd w:id="50"/>
      <w:bookmarkEnd w:id="5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村庄建设用地总面积98.36公顷，包括村民住宅用地、村庄公共服务用地、村庄产业用地和村庄基础设施用地；非村庄建设用地36.70公顷，包括临夏市两馆一中心、三谊养老院、区域公用设施等项目；规划村庄非建设用地总面积94.94公顷，包括水域、农林用地和其他非建设用地等。</w:t>
      </w:r>
    </w:p>
    <w:p>
      <w:pPr>
        <w:jc w:val="center"/>
        <w:rPr>
          <w:rFonts w:hint="eastAsia" w:asciiTheme="minorEastAsia" w:hAnsiTheme="minorEastAsia"/>
          <w:b/>
          <w:bCs/>
          <w:color w:val="000000" w:themeColor="text1"/>
          <w:sz w:val="24"/>
          <w:szCs w:val="24"/>
          <w:lang w:val="en-US" w:eastAsia="zh-CN"/>
          <w14:textFill>
            <w14:solidFill>
              <w14:schemeClr w14:val="tx1"/>
            </w14:solidFill>
          </w14:textFill>
        </w:rPr>
      </w:pPr>
      <w:r>
        <w:rPr>
          <w:rFonts w:hint="eastAsia" w:asciiTheme="minorEastAsia" w:hAnsiTheme="minorEastAsia"/>
          <w:b/>
          <w:bCs/>
          <w:color w:val="000000" w:themeColor="text1"/>
          <w:sz w:val="24"/>
          <w:szCs w:val="24"/>
          <w:lang w:val="en-US" w:eastAsia="zh-CN"/>
          <w14:textFill>
            <w14:solidFill>
              <w14:schemeClr w14:val="tx1"/>
            </w14:solidFill>
          </w14:textFill>
        </w:rPr>
        <w:t xml:space="preserve"> 村庄规划用地汇总表</w:t>
      </w:r>
    </w:p>
    <w:tbl>
      <w:tblPr>
        <w:tblStyle w:val="17"/>
        <w:tblW w:w="9480" w:type="dxa"/>
        <w:jc w:val="center"/>
        <w:tblInd w:w="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645"/>
        <w:gridCol w:w="690"/>
        <w:gridCol w:w="1080"/>
        <w:gridCol w:w="2715"/>
        <w:gridCol w:w="216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jc w:val="center"/>
        </w:trPr>
        <w:tc>
          <w:tcPr>
            <w:tcW w:w="2415" w:type="dxa"/>
            <w:gridSpan w:val="3"/>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用地代码</w:t>
            </w:r>
          </w:p>
        </w:tc>
        <w:tc>
          <w:tcPr>
            <w:tcW w:w="2715" w:type="dxa"/>
            <w:vMerge w:val="restart"/>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用地名称</w:t>
            </w:r>
          </w:p>
        </w:tc>
        <w:tc>
          <w:tcPr>
            <w:tcW w:w="2160" w:type="dxa"/>
            <w:vMerge w:val="restart"/>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用地面积(hm²)</w:t>
            </w:r>
          </w:p>
        </w:tc>
        <w:tc>
          <w:tcPr>
            <w:tcW w:w="2190" w:type="dxa"/>
            <w:vMerge w:val="restart"/>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占村庄用地比例(%)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645"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大类</w:t>
            </w:r>
          </w:p>
        </w:tc>
        <w:tc>
          <w:tcPr>
            <w:tcW w:w="69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中类</w:t>
            </w: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小类</w:t>
            </w:r>
          </w:p>
        </w:tc>
        <w:tc>
          <w:tcPr>
            <w:tcW w:w="2715" w:type="dxa"/>
            <w:vMerge w:val="continue"/>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160" w:type="dxa"/>
            <w:vMerge w:val="continue"/>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190" w:type="dxa"/>
            <w:vMerge w:val="continue"/>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restart"/>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w:t>
            </w:r>
          </w:p>
        </w:tc>
        <w:tc>
          <w:tcPr>
            <w:tcW w:w="69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村庄建设用地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98.36</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restart"/>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V1</w:t>
            </w: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村民住宅用地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31.18</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V11</w:t>
            </w: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住宅用地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31.18</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restart"/>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V2</w:t>
            </w: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村庄公共服务用地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3.47</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V21</w:t>
            </w: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村庄公共服务设施用地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1.81</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V22</w:t>
            </w: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村庄公共场地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1.66</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restart"/>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V3</w:t>
            </w: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村庄产业用地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48.27</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49.07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V31</w:t>
            </w: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村庄商业服务业设施用地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11.31</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V32</w:t>
            </w: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村庄生产仓储用地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36.96</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restart"/>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V4</w:t>
            </w: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村庄基础设施用地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15.44</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V41</w:t>
            </w: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村庄道路用地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15.36</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690" w:type="dxa"/>
            <w:vMerge w:val="continue"/>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V42</w:t>
            </w: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村庄交通设施用地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0.08</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V</w:t>
            </w:r>
          </w:p>
        </w:tc>
        <w:tc>
          <w:tcPr>
            <w:tcW w:w="69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村庄建设用地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98.36</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42.77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N</w:t>
            </w:r>
          </w:p>
        </w:tc>
        <w:tc>
          <w:tcPr>
            <w:tcW w:w="69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非村庄建设用地</w:t>
            </w:r>
          </w:p>
        </w:tc>
        <w:tc>
          <w:tcPr>
            <w:tcW w:w="216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36.70</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45"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E</w:t>
            </w:r>
          </w:p>
        </w:tc>
        <w:tc>
          <w:tcPr>
            <w:tcW w:w="69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top"/>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非建设用地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94.94</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2415" w:type="dxa"/>
            <w:gridSpan w:val="3"/>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p>
        </w:tc>
        <w:tc>
          <w:tcPr>
            <w:tcW w:w="2715"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村庄用地</w:t>
            </w:r>
          </w:p>
        </w:tc>
        <w:tc>
          <w:tcPr>
            <w:tcW w:w="216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230.00</w:t>
            </w:r>
          </w:p>
        </w:tc>
        <w:tc>
          <w:tcPr>
            <w:tcW w:w="2190" w:type="dxa"/>
            <w:shd w:val="clear" w:color="auto" w:fill="auto"/>
            <w:vAlign w:val="center"/>
          </w:tcPr>
          <w:p>
            <w:pPr>
              <w:jc w:val="cente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21"/>
                <w:szCs w:val="21"/>
                <w:lang w:val="en-US" w:eastAsia="zh-CN" w:bidi="ar-SA"/>
                <w14:textFill>
                  <w14:solidFill>
                    <w14:schemeClr w14:val="tx1"/>
                  </w14:solidFill>
                </w14:textFill>
              </w:rPr>
              <w:t>100.00</w:t>
            </w:r>
          </w:p>
        </w:tc>
      </w:tr>
    </w:tbl>
    <w:p>
      <w:pPr>
        <w:pStyle w:val="2"/>
        <w:rPr>
          <w:rFonts w:hint="eastAsia"/>
          <w:lang w:val="en-US" w:eastAsia="zh-CN"/>
        </w:rPr>
      </w:pPr>
      <w:bookmarkStart w:id="52" w:name="_Toc531708028"/>
      <w:bookmarkStart w:id="53" w:name="_Toc24177"/>
      <w:bookmarkStart w:id="54" w:name="_Toc3446"/>
      <w:r>
        <w:rPr>
          <w:rFonts w:hint="eastAsia"/>
        </w:rPr>
        <w:drawing>
          <wp:inline distT="0" distB="0" distL="114300" distR="114300">
            <wp:extent cx="4620260" cy="3533140"/>
            <wp:effectExtent l="0" t="0" r="8890" b="10160"/>
            <wp:docPr id="34" name="图片 34" descr="村庄土地利用规划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村庄土地利用规划图-Model"/>
                    <pic:cNvPicPr>
                      <a:picLocks noChangeAspect="1"/>
                    </pic:cNvPicPr>
                  </pic:nvPicPr>
                  <pic:blipFill>
                    <a:blip r:embed="rId6"/>
                    <a:srcRect l="10393" t="2785" r="2688" b="3292"/>
                    <a:stretch>
                      <a:fillRect/>
                    </a:stretch>
                  </pic:blipFill>
                  <pic:spPr>
                    <a:xfrm>
                      <a:off x="0" y="0"/>
                      <a:ext cx="4620260" cy="3533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村域国土用地布局</w:t>
      </w:r>
      <w:r>
        <w:rPr>
          <w:rFonts w:hint="eastAsia" w:asciiTheme="minorEastAsia" w:hAnsiTheme="minorEastAsia"/>
          <w:sz w:val="24"/>
          <w:szCs w:val="24"/>
        </w:rPr>
        <w:t>规</w:t>
      </w:r>
      <w:r>
        <w:rPr>
          <w:rFonts w:asciiTheme="minorEastAsia" w:hAnsiTheme="minorEastAsia"/>
          <w:sz w:val="24"/>
          <w:szCs w:val="24"/>
        </w:rPr>
        <w:t>划图</w:t>
      </w:r>
      <w:r>
        <w:rPr>
          <w:rFonts w:hint="eastAsia" w:asciiTheme="minorEastAsia" w:hAnsiTheme="minorEastAsia"/>
          <w:sz w:val="24"/>
          <w:szCs w:val="24"/>
        </w:rPr>
        <w:t>）</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r>
        <w:rPr>
          <w:rFonts w:hint="eastAsia"/>
          <w:sz w:val="28"/>
          <w:szCs w:val="28"/>
          <w:lang w:val="en-US" w:eastAsia="zh-CN"/>
        </w:rPr>
        <w:t>村域空间管制规划</w:t>
      </w:r>
      <w:bookmarkEnd w:id="52"/>
      <w:bookmarkEnd w:id="53"/>
      <w:bookmarkEnd w:id="54"/>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55" w:name="_Toc22445"/>
      <w:r>
        <w:rPr>
          <w:rFonts w:hint="eastAsia"/>
          <w:sz w:val="24"/>
          <w:szCs w:val="24"/>
          <w:lang w:val="en-US" w:eastAsia="zh-CN"/>
        </w:rPr>
        <w:t>“三区”划定</w:t>
      </w:r>
      <w:bookmarkEnd w:id="5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（1）禁建区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此区主要包括村庄基本农田及生态环境保护区。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管控导引：依据《基本农田保护条例》进行严格管制。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（2）限建区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控导引:一般农用地内可根据村庄发展的需要，少量适度建设。但禁止一切可能导致农业污染、破坏土地及环境的经营活动。对规划搬迁合并的现状农村居民点用地，有计划引导居民向村庄中心集中，积极进行村庄迁并与农田整理。对一般农用地、生态林区、园地禁止一切可能导致农业污染、破坏土地及环境的经营活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（3）适建区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此区包括现状已建用地及周边部分一般农田。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管控导引:依照村庄用地规划进行建设，建设用地总量严格执行土地利用规划的要求，在确保环境质量的前提下适度提高土地利用率。</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56" w:name="_Toc12689"/>
      <w:r>
        <w:rPr>
          <w:rFonts w:hint="eastAsia"/>
          <w:sz w:val="24"/>
          <w:szCs w:val="24"/>
          <w:lang w:val="en-US" w:eastAsia="zh-CN"/>
        </w:rPr>
        <w:t>“三生空间”划定</w:t>
      </w:r>
      <w:bookmarkEnd w:id="5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（1）生产空间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农业生产区、区域公共设施、基础设施及公用设施、乡镇企业用地。总面积170.93公顷，占村庄用地的74.32%。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（2）生活空间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集中居民点的住宅、公共服务、公益设施、基础设施、开敞空间等用地。总面积50.09公顷，占村庄用地的21.78%。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（3）生态空间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自然保护区、风景名胜区、水源保护地、道路绿化、水域、林地等。总面积8.98公顷，占村庄用地的3.90%。</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default"/>
          <w:sz w:val="28"/>
          <w:szCs w:val="28"/>
          <w:lang w:val="en-US" w:eastAsia="zh-CN"/>
        </w:rPr>
      </w:pPr>
      <w:bookmarkStart w:id="57" w:name="_Toc18800"/>
      <w:bookmarkStart w:id="58" w:name="_Toc13070"/>
      <w:r>
        <w:rPr>
          <w:rFonts w:hint="default"/>
          <w:sz w:val="28"/>
          <w:szCs w:val="28"/>
          <w:lang w:val="en-US" w:eastAsia="zh-CN"/>
        </w:rPr>
        <w:t>生态保护修复和综合整治规划</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落实生态保护红线、各类自然保护地、生态公益林、水源保护地、河流湖泊保护段等保护任务和要求。落实土地整理、工矿废弃地复垦利用、城乡建设用地增减挂钩、“空心房”整治、高标准农田建设、还林还湖还草、污染地块治理等相关项目安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综合考虑群众接受、经济适用、维护方便，结合人居环境整治规划、乡村绿化美化行动，统筹安排村容村貌整治、农村生活垃圾治理、生活污水治理和农村农业生产废弃物利用等。</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59" w:name="_Toc29598"/>
      <w:bookmarkStart w:id="60" w:name="_Toc8519"/>
      <w:r>
        <w:rPr>
          <w:rFonts w:hint="eastAsia"/>
          <w:sz w:val="28"/>
          <w:szCs w:val="28"/>
          <w:lang w:val="en-US" w:eastAsia="zh-CN"/>
        </w:rPr>
        <w:t>耕地与基本农田保护规划</w:t>
      </w:r>
      <w:bookmarkEnd w:id="59"/>
      <w:bookmarkEnd w:id="6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划定的耕地保护范围和永久基本农田保护红线，进一步确保护要求和管控措施。对大比例尺调查发现的永久基本农田图斑内存在的非农建设用地或者其他零星农用地，应在村规划中优先安排整理、复垦为耕地，划定永久基本农田储备区。</w:t>
      </w:r>
    </w:p>
    <w:p>
      <w:pPr>
        <w:pStyle w:val="2"/>
        <w:jc w:val="center"/>
        <w:rPr>
          <w:rFonts w:hint="eastAsia"/>
          <w:lang w:val="en-US" w:eastAsia="zh-CN"/>
        </w:rPr>
      </w:pPr>
      <w:r>
        <w:rPr>
          <w:rFonts w:hint="eastAsia"/>
        </w:rPr>
        <w:drawing>
          <wp:inline distT="0" distB="0" distL="114300" distR="114300">
            <wp:extent cx="3081655" cy="2378075"/>
            <wp:effectExtent l="0" t="0" r="4445" b="3175"/>
            <wp:docPr id="29" name="图片 29" descr="村庄空间管制规划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村庄空间管制规划图-Model"/>
                    <pic:cNvPicPr>
                      <a:picLocks noChangeAspect="1"/>
                    </pic:cNvPicPr>
                  </pic:nvPicPr>
                  <pic:blipFill>
                    <a:blip r:embed="rId7"/>
                    <a:srcRect l="10817" t="2802" r="3065" b="3312"/>
                    <a:stretch>
                      <a:fillRect/>
                    </a:stretch>
                  </pic:blipFill>
                  <pic:spPr>
                    <a:xfrm>
                      <a:off x="0" y="0"/>
                      <a:ext cx="3081655" cy="2378075"/>
                    </a:xfrm>
                    <a:prstGeom prst="rect">
                      <a:avLst/>
                    </a:prstGeom>
                  </pic:spPr>
                </pic:pic>
              </a:graphicData>
            </a:graphic>
          </wp:inline>
        </w:drawing>
      </w:r>
      <w:r>
        <w:rPr>
          <w:rFonts w:hint="eastAsia"/>
        </w:rPr>
        <w:drawing>
          <wp:inline distT="0" distB="0" distL="114300" distR="114300">
            <wp:extent cx="3086100" cy="2372995"/>
            <wp:effectExtent l="0" t="0" r="0" b="8255"/>
            <wp:docPr id="33" name="图片 33" descr="村庄三生空间划定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村庄三生空间划定图-Model"/>
                    <pic:cNvPicPr>
                      <a:picLocks noChangeAspect="1"/>
                    </pic:cNvPicPr>
                  </pic:nvPicPr>
                  <pic:blipFill>
                    <a:blip r:embed="rId8"/>
                    <a:srcRect l="10467" t="2805" r="2887" b="3060"/>
                    <a:stretch>
                      <a:fillRect/>
                    </a:stretch>
                  </pic:blipFill>
                  <pic:spPr>
                    <a:xfrm>
                      <a:off x="0" y="0"/>
                      <a:ext cx="3086100" cy="2372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村域空间管制</w:t>
      </w:r>
      <w:r>
        <w:rPr>
          <w:rFonts w:hint="eastAsia" w:asciiTheme="minorEastAsia" w:hAnsiTheme="minorEastAsia"/>
          <w:sz w:val="24"/>
          <w:szCs w:val="24"/>
        </w:rPr>
        <w:t>规划图</w:t>
      </w:r>
      <w:r>
        <w:rPr>
          <w:rFonts w:hint="eastAsia" w:asciiTheme="minorEastAsia" w:hAnsiTheme="minorEastAsia"/>
          <w:sz w:val="24"/>
          <w:szCs w:val="24"/>
        </w:rPr>
        <w:t>）</w:t>
      </w:r>
    </w:p>
    <w:p>
      <w:pPr>
        <w:pStyle w:val="3"/>
        <w:keepNext/>
        <w:keepLines/>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left"/>
        <w:textAlignment w:val="auto"/>
        <w:outlineLvl w:val="0"/>
        <w:rPr>
          <w:rFonts w:hint="eastAsia"/>
          <w:sz w:val="32"/>
          <w:szCs w:val="32"/>
          <w:lang w:val="en-US" w:eastAsia="zh-CN"/>
        </w:rPr>
      </w:pPr>
      <w:r>
        <w:rPr>
          <w:rFonts w:hint="eastAsia"/>
          <w:sz w:val="32"/>
          <w:szCs w:val="32"/>
          <w:lang w:val="en-US" w:eastAsia="zh-CN"/>
        </w:rPr>
        <w:t>村庄产业发展规划</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61" w:name="_Toc17402"/>
      <w:bookmarkStart w:id="62" w:name="_Toc15336"/>
      <w:r>
        <w:rPr>
          <w:rFonts w:hint="eastAsia"/>
          <w:sz w:val="28"/>
          <w:szCs w:val="28"/>
          <w:lang w:val="en-US" w:eastAsia="zh-CN"/>
        </w:rPr>
        <w:t>产业发展思路</w:t>
      </w:r>
      <w:bookmarkEnd w:id="6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以一、二产为本，三产为导向，形成多种农民增收路径。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村庄现状牛、羊养殖与加工已初具规模，大力发展现代农业种植与牛羊养殖及包装加工，依托现有龙头企业带动全村产业发展，通过培育自身优势，打造特色品牌。积极探索“三变改革”政策，通过土地流转成立“养殖专业合作社”、“产业扶贫车间”，带动村民增收，提高农民抵御风险能力，助力脱贫攻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依托牛、羊养殖产业基础，由种植普通农作物转向种植畜草，降低养殖成本，完善产业链，增加农民收入。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依托区位优势，资源优势和特色产业类型，积极发展以休闲农业和农事体验为导向，形成城郊乡村休闲旅游业，拓宽产业发展渠道。</w:t>
      </w:r>
    </w:p>
    <w:p>
      <w:pPr>
        <w:pStyle w:val="2"/>
      </w:pPr>
      <w:r>
        <w:drawing>
          <wp:inline distT="0" distB="0" distL="0" distR="0">
            <wp:extent cx="4941570" cy="2517140"/>
            <wp:effectExtent l="0" t="0" r="1143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l="3890" t="8326" r="4385"/>
                    <a:stretch>
                      <a:fillRect/>
                    </a:stretch>
                  </pic:blipFill>
                  <pic:spPr>
                    <a:xfrm>
                      <a:off x="0" y="0"/>
                      <a:ext cx="4941570" cy="251714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r>
        <w:rPr>
          <w:rFonts w:hint="eastAsia"/>
          <w:sz w:val="28"/>
          <w:szCs w:val="28"/>
          <w:lang w:val="en-US" w:eastAsia="zh-CN"/>
        </w:rPr>
        <w:t>产业发展定位</w:t>
      </w:r>
      <w:bookmarkEnd w:id="6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重点打造以玉米、畜草种植，有机肥生产，牛、羊特色规模养殖和精深包装加工为核心的一、二产业融合发展示范基地；积极发展城郊乡村休闲旅游业。</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default"/>
          <w:sz w:val="24"/>
          <w:szCs w:val="24"/>
          <w:lang w:val="en-US" w:eastAsia="zh-CN"/>
        </w:rPr>
      </w:pPr>
      <w:bookmarkStart w:id="63" w:name="_Toc29740"/>
      <w:r>
        <w:rPr>
          <w:rFonts w:hint="eastAsia"/>
          <w:sz w:val="24"/>
          <w:szCs w:val="24"/>
          <w:lang w:val="en-US" w:eastAsia="zh-CN"/>
        </w:rPr>
        <w:t>主导产业——现代农业、畜产品加工业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（1）优质粮种植基地：在解决生产性基础设施基础上，实现农业产业化，主要种植高产小麦、玉米，打造优质农品名片，与周边区域形成供销渠道。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（2）畜草种植基地：以种植畜草为主，重点用于牛羊育肥饲料，降低养殖成本。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（3）特色养殖基地：以牛、羊育肥养殖为主，以龙头企业为动力，按照养殖专业合作社模式形成规模效应。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（4）依托清河源、清源、俊林等重点企业，重点开展牛羊养殖、屠宰加工、生产包装、研发、冷冻储藏、冷链配送和销售等多功能产业体系，打造临夏市畜产品示范基地。</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r>
        <w:rPr>
          <w:rFonts w:hint="eastAsia"/>
          <w:sz w:val="24"/>
          <w:szCs w:val="24"/>
          <w:lang w:val="en-US" w:eastAsia="zh-CN"/>
        </w:rPr>
        <w:t>辅助产业——城郊乡村休闲度假游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便利的区位交通条件，沿大夏河沿线积极开展乡村休闲度假产业，按照特色化经营模式，重点打造农家乐、亲子乐园、水上乐园、特色餐饮、特色手工艺品、民族文化展示等项目。吸引游客，增加自身产业与临夏市主体市场的良性互动。</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r>
        <w:rPr>
          <w:rFonts w:hint="eastAsia"/>
          <w:sz w:val="28"/>
          <w:szCs w:val="28"/>
          <w:lang w:val="en-US" w:eastAsia="zh-CN"/>
        </w:rPr>
        <w:t>产业空间布局</w:t>
      </w:r>
      <w:bookmarkEnd w:id="6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规划形成四大产业空间布局分区：现代农业种植区、牛羊特色养殖加工区、农家生活展示区、城郊乡村休闲度假体验区。</w:t>
      </w:r>
    </w:p>
    <w:p>
      <w:pPr>
        <w:spacing w:line="360" w:lineRule="auto"/>
        <w:ind w:firstLine="420" w:firstLineChars="200"/>
        <w:jc w:val="center"/>
        <w:rPr>
          <w:rFonts w:asciiTheme="minorEastAsia" w:hAnsiTheme="minorEastAsia"/>
          <w:sz w:val="28"/>
          <w:szCs w:val="28"/>
        </w:rPr>
      </w:pPr>
      <w:r>
        <w:rPr>
          <w:rFonts w:hint="eastAsia"/>
        </w:rPr>
        <w:drawing>
          <wp:inline distT="0" distB="0" distL="114300" distR="114300">
            <wp:extent cx="4968240" cy="3804285"/>
            <wp:effectExtent l="0" t="0" r="3810" b="5715"/>
            <wp:docPr id="28" name="图片 28" descr="村庄产业布局规划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村庄产业布局规划图-Model"/>
                    <pic:cNvPicPr>
                      <a:picLocks noChangeAspect="1"/>
                    </pic:cNvPicPr>
                  </pic:nvPicPr>
                  <pic:blipFill>
                    <a:blip r:embed="rId10"/>
                    <a:srcRect l="10622" t="2897" r="2795" b="3423"/>
                    <a:stretch>
                      <a:fillRect/>
                    </a:stretch>
                  </pic:blipFill>
                  <pic:spPr>
                    <a:xfrm>
                      <a:off x="0" y="0"/>
                      <a:ext cx="4968240" cy="38042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asciiTheme="minorEastAsia" w:hAnsiTheme="minorEastAsia"/>
          <w:sz w:val="24"/>
          <w:szCs w:val="24"/>
        </w:rPr>
      </w:pPr>
      <w:r>
        <w:rPr>
          <w:rFonts w:hint="eastAsia" w:asciiTheme="minorEastAsia" w:hAnsiTheme="minorEastAsia"/>
          <w:sz w:val="24"/>
          <w:szCs w:val="24"/>
        </w:rPr>
        <w:t>（村庄</w:t>
      </w:r>
      <w:r>
        <w:rPr>
          <w:rFonts w:asciiTheme="minorEastAsia" w:hAnsiTheme="minorEastAsia"/>
          <w:sz w:val="24"/>
          <w:szCs w:val="24"/>
        </w:rPr>
        <w:t>产业布局规划图</w:t>
      </w:r>
      <w:r>
        <w:rPr>
          <w:rFonts w:hint="eastAsia" w:asciiTheme="minorEastAsia" w:hAnsiTheme="minorEastAsia"/>
          <w:sz w:val="24"/>
          <w:szCs w:val="24"/>
        </w:rPr>
        <w:t>）</w:t>
      </w:r>
    </w:p>
    <w:p>
      <w:pPr>
        <w:pStyle w:val="3"/>
        <w:keepNext/>
        <w:keepLines/>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left"/>
        <w:textAlignment w:val="auto"/>
        <w:outlineLvl w:val="0"/>
        <w:rPr>
          <w:rFonts w:hint="eastAsia"/>
          <w:sz w:val="32"/>
          <w:szCs w:val="32"/>
          <w:lang w:val="en-US" w:eastAsia="zh-CN"/>
        </w:rPr>
      </w:pPr>
      <w:bookmarkStart w:id="64" w:name="_Toc24154"/>
      <w:r>
        <w:rPr>
          <w:rFonts w:hint="eastAsia"/>
          <w:sz w:val="32"/>
          <w:szCs w:val="32"/>
          <w:lang w:val="en-US" w:eastAsia="zh-CN"/>
        </w:rPr>
        <w:t>村庄居民点建设与综合整治规划</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bookmarkStart w:id="65" w:name="_Toc28953"/>
      <w:r>
        <w:rPr>
          <w:rFonts w:hint="eastAsia"/>
          <w:sz w:val="28"/>
          <w:szCs w:val="28"/>
          <w:lang w:val="en-US" w:eastAsia="zh-CN"/>
        </w:rPr>
        <w:t>村庄居民点建设规划</w:t>
      </w:r>
      <w:bookmarkEnd w:id="65"/>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r>
        <w:rPr>
          <w:rFonts w:hint="eastAsia"/>
          <w:sz w:val="24"/>
          <w:szCs w:val="24"/>
          <w:lang w:val="en-US" w:eastAsia="zh-CN"/>
        </w:rPr>
        <w:t>总平面详细设计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规划方案思路是在现状村庄肌理分布基础上进行提升改建，杜绝提倡大拆大建，充分保留乡村原生态特色。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具体规划建设项目为：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（1）依据《临夏市临夏县城市总体规划》对现状过境道路适当拓宽，需减少村民住宅用地，现状道路两侧部分企业需后退控制距离。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（2）适当拓宽部分通村道路，硬化巷道，局部规划新建道路，完善路网体系。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（3）原有小学、幼儿园内部设施进行提升整治，并对小学规划新建标准化200米跑道，适当增加绿化植被。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（4）新建文化站、养老院、乡村舞台、便民商业等设施，为村民提供方便。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（5）规划设置2处小型停车场。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（6）规划利用现有空闲打谷场改建为2处小游园和广场。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（7）适当改善村民宅前屋后环境，增加节点绿化开敞空间。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（8）加强村庄道路两侧明沟排水渠美化治理，完善排水措施。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（9）规划新建俊林养殖合作社项目和扶贫车间项目。</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66" w:name="_Toc6698"/>
      <w:bookmarkStart w:id="67" w:name="_Toc531708034"/>
      <w:r>
        <w:rPr>
          <w:rFonts w:hint="eastAsia"/>
          <w:sz w:val="24"/>
          <w:szCs w:val="24"/>
          <w:lang w:val="en-US" w:eastAsia="zh-CN"/>
        </w:rPr>
        <w:t>新增建设用地和建筑规划控制</w:t>
      </w:r>
      <w:bookmarkEnd w:id="66"/>
      <w:bookmarkEnd w:id="6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规划对新增建设用地提出建筑规划控制要求，具体新增建设用地有：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（1）村庄公共场地——新建小广场、小游园、停车场，建筑构筑物或小品高度≤9米，游园绿地率≥50%。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（2）村庄公共服务用地——新建养老院、文化站，建筑高度≤12米，容积率≤1.0，建筑密度≤30%，绿地率≥30%。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（3）村庄产业用地——新建俊林养殖合作社、产业扶贫车间，建筑高度≤15米，容积率≤1.2，建筑密度≤40%，绿地率≥20%。</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r>
        <w:rPr>
          <w:rFonts w:hint="eastAsia"/>
          <w:sz w:val="24"/>
          <w:szCs w:val="24"/>
          <w:lang w:val="en-US" w:eastAsia="zh-CN"/>
        </w:rPr>
        <w:t>农宅及院落设计控制及引导</w:t>
      </w:r>
      <w:bookmarkEnd w:id="6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sz w:val="24"/>
          <w:szCs w:val="24"/>
          <w:lang w:val="en-US" w:eastAsia="zh-CN"/>
        </w:rPr>
      </w:pPr>
      <w:r>
        <w:rPr>
          <w:rFonts w:asciiTheme="minorEastAsia" w:hAnsiTheme="minorEastAsia"/>
          <w:sz w:val="28"/>
          <w:szCs w:val="28"/>
        </w:rPr>
        <w:drawing>
          <wp:anchor distT="0" distB="0" distL="0" distR="0" simplePos="0" relativeHeight="251658240" behindDoc="1" locked="0" layoutInCell="1" allowOverlap="1">
            <wp:simplePos x="0" y="0"/>
            <wp:positionH relativeFrom="column">
              <wp:posOffset>3314700</wp:posOffset>
            </wp:positionH>
            <wp:positionV relativeFrom="paragraph">
              <wp:posOffset>48260</wp:posOffset>
            </wp:positionV>
            <wp:extent cx="3114040" cy="1586230"/>
            <wp:effectExtent l="0" t="0" r="10160" b="13970"/>
            <wp:wrapTight wrapText="bothSides">
              <wp:wrapPolygon>
                <wp:start x="0" y="0"/>
                <wp:lineTo x="0" y="21271"/>
                <wp:lineTo x="21406" y="21271"/>
                <wp:lineTo x="21406"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a:stretch>
                      <a:fillRect/>
                    </a:stretch>
                  </pic:blipFill>
                  <pic:spPr>
                    <a:xfrm>
                      <a:off x="0" y="0"/>
                      <a:ext cx="3114040" cy="1586230"/>
                    </a:xfrm>
                    <a:prstGeom prst="rect">
                      <a:avLst/>
                    </a:prstGeom>
                  </pic:spPr>
                </pic:pic>
              </a:graphicData>
            </a:graphic>
          </wp:anchor>
        </w:drawing>
      </w:r>
      <w:r>
        <w:rPr>
          <w:rFonts w:hint="eastAsia" w:ascii="宋体" w:hAnsi="宋体" w:eastAsia="宋体" w:cs="宋体"/>
          <w:sz w:val="24"/>
          <w:szCs w:val="24"/>
          <w:lang w:val="en-US" w:eastAsia="zh-CN"/>
        </w:rPr>
        <w:t>根据《甘肃省村庄规划编制导则》中对于宅基地面积要求：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新建低层农宅，宅基地面积应按照《甘肃省实施&lt;中华人民共和国土地管理法&gt;办法》中的标准进行规划设计。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sz w:val="24"/>
          <w:szCs w:val="24"/>
          <w:lang w:val="en-US" w:eastAsia="zh-CN"/>
        </w:rPr>
      </w:pPr>
      <w:r>
        <w:rPr>
          <w:rFonts w:hint="eastAsia" w:asciiTheme="minorEastAsia" w:hAnsiTheme="minorEastAsia"/>
          <w:sz w:val="28"/>
          <w:szCs w:val="28"/>
        </w:rPr>
        <w:drawing>
          <wp:anchor distT="0" distB="0" distL="0" distR="0" simplePos="0" relativeHeight="251659264" behindDoc="0" locked="0" layoutInCell="1" allowOverlap="1">
            <wp:simplePos x="0" y="0"/>
            <wp:positionH relativeFrom="column">
              <wp:posOffset>3305175</wp:posOffset>
            </wp:positionH>
            <wp:positionV relativeFrom="paragraph">
              <wp:posOffset>200660</wp:posOffset>
            </wp:positionV>
            <wp:extent cx="3137535" cy="1610360"/>
            <wp:effectExtent l="0" t="0" r="5715" b="889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37535" cy="1610360"/>
                    </a:xfrm>
                    <a:prstGeom prst="rect">
                      <a:avLst/>
                    </a:prstGeom>
                  </pic:spPr>
                </pic:pic>
              </a:graphicData>
            </a:graphic>
          </wp:anchor>
        </w:drawing>
      </w:r>
      <w:r>
        <w:rPr>
          <w:rFonts w:hint="eastAsia" w:ascii="宋体" w:hAnsi="宋体" w:eastAsia="宋体" w:cs="宋体"/>
          <w:sz w:val="24"/>
          <w:szCs w:val="24"/>
          <w:lang w:val="en-US" w:eastAsia="zh-CN"/>
        </w:rPr>
        <w:t>农区：村人均耕地667平方米(1亩)以下的，每户宅基地不得超过200平方米，667平方米(1亩)以上1334平方米(2亩)以下的，不得超过267平方米，1334平方米(2亩)以上的，不得超过330平方米。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规划村庄人均耕地面积约为0.3亩，固规划确定村庄宅基地面积不超过200平方米。</w:t>
      </w:r>
    </w:p>
    <w:p>
      <w:pPr>
        <w:pStyle w:val="4"/>
        <w:keepNext/>
        <w:keepLines/>
        <w:pageBreakBefore w:val="0"/>
        <w:widowControl w:val="0"/>
        <w:kinsoku/>
        <w:wordWrap/>
        <w:overflowPunct/>
        <w:topLinePunct w:val="0"/>
        <w:autoSpaceDE/>
        <w:autoSpaceDN/>
        <w:bidi w:val="0"/>
        <w:adjustRightInd/>
        <w:snapToGrid/>
        <w:spacing w:before="60" w:after="60" w:line="360" w:lineRule="auto"/>
        <w:ind w:left="0" w:leftChars="0" w:right="0" w:rightChars="0" w:firstLine="422" w:firstLineChars="150"/>
        <w:jc w:val="both"/>
        <w:textAlignment w:val="auto"/>
        <w:outlineLvl w:val="1"/>
        <w:rPr>
          <w:rFonts w:hint="eastAsia"/>
          <w:sz w:val="28"/>
          <w:szCs w:val="28"/>
          <w:lang w:val="en-US" w:eastAsia="zh-CN"/>
        </w:rPr>
      </w:pPr>
      <w:r>
        <w:rPr>
          <w:rFonts w:hint="eastAsia"/>
          <w:sz w:val="28"/>
          <w:szCs w:val="28"/>
          <w:lang w:val="en-US" w:eastAsia="zh-CN"/>
        </w:rPr>
        <w:t>村庄综合整治规划</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68" w:name="_Toc525840684"/>
      <w:bookmarkStart w:id="69" w:name="_Toc27388"/>
      <w:bookmarkStart w:id="70" w:name="_Toc2337"/>
      <w:r>
        <w:rPr>
          <w:rFonts w:hint="eastAsia"/>
          <w:sz w:val="24"/>
          <w:szCs w:val="24"/>
          <w:lang w:val="en-US" w:eastAsia="zh-CN"/>
        </w:rPr>
        <w:t>人居环境整治</w:t>
      </w:r>
      <w:bookmarkEnd w:id="68"/>
      <w:r>
        <w:rPr>
          <w:rFonts w:hint="eastAsia"/>
          <w:sz w:val="24"/>
          <w:szCs w:val="24"/>
          <w:lang w:val="en-US" w:eastAsia="zh-CN"/>
        </w:rPr>
        <w:t>规划</w:t>
      </w:r>
      <w:bookmarkEnd w:id="69"/>
      <w:bookmarkEnd w:id="70"/>
    </w:p>
    <w:p>
      <w:pPr>
        <w:spacing w:line="360" w:lineRule="auto"/>
        <w:rPr>
          <w:rFonts w:hint="eastAsia" w:asciiTheme="minorEastAsia" w:hAnsiTheme="minorEastAsia"/>
          <w:b/>
          <w:bCs/>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公共空间整治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村庄内部原有广场和闲置地整治为村民公共活动场所，考虑特殊人群使用，应设置坡道。通过实施村庄整治逐步实现农村土地集约化利用，改善农民生活、工作环境，使村庄面貌焕然一新，实现改善人居环境、培育精神文明、提高人口素质的基本目标，促进乡村振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outlineLvl w:val="9"/>
        <w:rPr>
          <w:rFonts w:hint="eastAsia" w:ascii="宋体" w:hAnsi="宋体" w:eastAsia="宋体" w:cs="宋体"/>
          <w:sz w:val="24"/>
          <w:szCs w:val="24"/>
          <w:lang w:val="en-US" w:eastAsia="zh-CN"/>
        </w:rPr>
      </w:pPr>
      <w:r>
        <w:drawing>
          <wp:inline distT="0" distB="0" distL="0" distR="0">
            <wp:extent cx="2314575" cy="3091180"/>
            <wp:effectExtent l="0" t="0" r="9525" b="1397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3"/>
                    <a:srcRect l="4372" r="4003" b="5492"/>
                    <a:stretch>
                      <a:fillRect/>
                    </a:stretch>
                  </pic:blipFill>
                  <pic:spPr>
                    <a:xfrm>
                      <a:off x="0" y="0"/>
                      <a:ext cx="2314575" cy="3091180"/>
                    </a:xfrm>
                    <a:prstGeom prst="rect">
                      <a:avLst/>
                    </a:prstGeom>
                  </pic:spPr>
                </pic:pic>
              </a:graphicData>
            </a:graphic>
          </wp:inline>
        </w:drawing>
      </w:r>
      <w:r>
        <w:rPr>
          <w:rFonts w:hint="eastAsia" w:asciiTheme="minorEastAsia" w:hAnsiTheme="minorEastAsia" w:cstheme="minorBidi"/>
          <w:b/>
          <w:bCs/>
          <w:color w:val="000000" w:themeColor="text1"/>
          <w:kern w:val="2"/>
          <w:sz w:val="28"/>
          <w:szCs w:val="28"/>
          <w:lang w:val="en-US" w:eastAsia="zh-CN" w:bidi="ar-SA"/>
          <w14:textFill>
            <w14:solidFill>
              <w14:schemeClr w14:val="tx1"/>
            </w14:solidFill>
          </w14:textFill>
        </w:rPr>
        <w:drawing>
          <wp:anchor distT="0" distB="0" distL="114300" distR="114300" simplePos="0" relativeHeight="251656192" behindDoc="0" locked="0" layoutInCell="1" allowOverlap="1">
            <wp:simplePos x="0" y="0"/>
            <wp:positionH relativeFrom="column">
              <wp:posOffset>2543175</wp:posOffset>
            </wp:positionH>
            <wp:positionV relativeFrom="paragraph">
              <wp:posOffset>1348740</wp:posOffset>
            </wp:positionV>
            <wp:extent cx="3568065" cy="2266315"/>
            <wp:effectExtent l="0" t="0" r="13335" b="63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4"/>
                    <a:stretch>
                      <a:fillRect/>
                    </a:stretch>
                  </pic:blipFill>
                  <pic:spPr>
                    <a:xfrm>
                      <a:off x="0" y="0"/>
                      <a:ext cx="3568065" cy="2266315"/>
                    </a:xfrm>
                    <a:prstGeom prst="rect">
                      <a:avLst/>
                    </a:prstGeom>
                  </pic:spPr>
                </pic:pic>
              </a:graphicData>
            </a:graphic>
          </wp:anchor>
        </w:drawing>
      </w:r>
      <w:r>
        <w:drawing>
          <wp:anchor distT="0" distB="0" distL="114300" distR="114300" simplePos="0" relativeHeight="251657216" behindDoc="0" locked="0" layoutInCell="1" allowOverlap="1">
            <wp:simplePos x="0" y="0"/>
            <wp:positionH relativeFrom="column">
              <wp:posOffset>2552700</wp:posOffset>
            </wp:positionH>
            <wp:positionV relativeFrom="paragraph">
              <wp:posOffset>41910</wp:posOffset>
            </wp:positionV>
            <wp:extent cx="3570605" cy="1252855"/>
            <wp:effectExtent l="0" t="0" r="10795" b="4445"/>
            <wp:wrapSquare wrapText="bothSides"/>
            <wp:docPr id="133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 name="图片 4"/>
                    <pic:cNvPicPr>
                      <a:picLocks noChangeAspect="1"/>
                    </pic:cNvPicPr>
                  </pic:nvPicPr>
                  <pic:blipFill>
                    <a:blip r:embed="rId15"/>
                    <a:srcRect l="-381"/>
                    <a:stretch>
                      <a:fillRect/>
                    </a:stretch>
                  </pic:blipFill>
                  <pic:spPr>
                    <a:xfrm>
                      <a:off x="0" y="0"/>
                      <a:ext cx="3570605" cy="125285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（公共空间整治图）</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街巷空间整治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（1）沿街外立面粉刷脱落、细部残缺甚至墙体损坏等，及时修补和翻新。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（2）沿街外立面整治应选用当地材料（木、砖、混凝土等），整治采用具有地域特色的形式，并采用低造价的施工改造方式。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（3）对沿街的建筑的屋顶形式、门窗构件、山墙等建筑局部整治美化，是建筑沿街立面和谐统一。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（4）街巷景观进行整治中，遵从原有的空间肌理，对街巷两侧的院墙，运用低矮灌木进行绿化。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（5）重要街道交汇处空间，进行绿化美化，形成景观节点。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（6）在原有村庄改造中对原有街口狭小的地段扩大，发展为街头绿地，并利用路旁空地进行绿化，形成街边小游园。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asciiTheme="minorEastAsia" w:hAnsiTheme="minorEastAsia"/>
          <w:sz w:val="24"/>
          <w:szCs w:val="24"/>
        </w:rPr>
      </w:pPr>
      <w:r>
        <w:rPr>
          <w:rFonts w:hint="eastAsia" w:asciiTheme="minorEastAsia" w:hAnsiTheme="minorEastAsia"/>
          <w:sz w:val="24"/>
          <w:szCs w:val="24"/>
        </w:rPr>
        <w:drawing>
          <wp:inline distT="0" distB="0" distL="114300" distR="114300">
            <wp:extent cx="4805680" cy="5774690"/>
            <wp:effectExtent l="0" t="0" r="13970" b="16510"/>
            <wp:docPr id="9" name="图片 9" descr="13街巷整治引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街巷整治引导图"/>
                    <pic:cNvPicPr>
                      <a:picLocks noChangeAspect="1"/>
                    </pic:cNvPicPr>
                  </pic:nvPicPr>
                  <pic:blipFill>
                    <a:blip r:embed="rId16"/>
                    <a:srcRect l="2076" t="10052" r="2076" b="8586"/>
                    <a:stretch>
                      <a:fillRect/>
                    </a:stretch>
                  </pic:blipFill>
                  <pic:spPr>
                    <a:xfrm>
                      <a:off x="0" y="0"/>
                      <a:ext cx="4805680" cy="5774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heme="minorEastAsia" w:hAnsiTheme="minorEastAsia"/>
          <w:sz w:val="24"/>
          <w:szCs w:val="24"/>
        </w:rPr>
      </w:pPr>
      <w:r>
        <w:rPr>
          <w:rFonts w:hint="eastAsia" w:asciiTheme="minorEastAsia" w:hAnsiTheme="minorEastAsia"/>
          <w:sz w:val="24"/>
          <w:szCs w:val="24"/>
        </w:rPr>
        <w:t>（街巷空间整治图）</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环境卫生整治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生活垃圾、厕所、秸秆、农用附属用房。</w:t>
      </w:r>
    </w:p>
    <w:p>
      <w:pPr>
        <w:spacing w:line="360" w:lineRule="auto"/>
        <w:ind w:firstLine="420" w:firstLineChars="200"/>
        <w:jc w:val="center"/>
        <w:rPr>
          <w:rFonts w:asciiTheme="minorEastAsia" w:hAnsiTheme="minorEastAsia"/>
          <w:sz w:val="24"/>
          <w:szCs w:val="24"/>
        </w:rPr>
      </w:pPr>
      <w:r>
        <w:rPr>
          <w:color w:val="000000" w:themeColor="text1"/>
          <w14:textFill>
            <w14:solidFill>
              <w14:schemeClr w14:val="tx1"/>
            </w14:solidFill>
          </w14:textFill>
        </w:rPr>
        <w:drawing>
          <wp:inline distT="0" distB="0" distL="0" distR="0">
            <wp:extent cx="4683125" cy="4239260"/>
            <wp:effectExtent l="0" t="0" r="3175" b="889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7"/>
                    <a:stretch>
                      <a:fillRect/>
                    </a:stretch>
                  </pic:blipFill>
                  <pic:spPr>
                    <a:xfrm>
                      <a:off x="0" y="0"/>
                      <a:ext cx="4700639" cy="4254828"/>
                    </a:xfrm>
                    <a:prstGeom prst="rect">
                      <a:avLst/>
                    </a:prstGeom>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环境卫生整治图</w:t>
      </w:r>
      <w:r>
        <w:rPr>
          <w:rFonts w:hint="eastAsia" w:asciiTheme="minorEastAsia" w:hAnsiTheme="minorEastAsia"/>
          <w:sz w:val="24"/>
          <w:szCs w:val="24"/>
        </w:rPr>
        <w:t>）</w:t>
      </w: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r>
        <w:rPr>
          <w:rFonts w:hint="eastAsia"/>
          <w:sz w:val="24"/>
          <w:szCs w:val="24"/>
          <w:lang w:val="en-US" w:eastAsia="zh-CN"/>
        </w:rPr>
        <w:t>建筑与院落整治</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建筑整治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规划将村庄房屋分为三类：保留建筑、改造建筑和拆除建筑。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主要对村庄内部公益性建筑如村委会、清真寺、卫生所等筑进行保留；对村庄内部的农家乐及民宅进行统一整治，对村庄内部的一些破损严重的民宅及辅房拆除后重建，对无人居住的住宅进行流转，改造为民宿作旅游服务设施用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改造建筑分为对现代建筑、传统建筑和功能转换建筑的改造，主要通过屋顶改造、墙面整治、门窗替换等便于操作、经济合理的措施进行改造提升。</w:t>
      </w:r>
    </w:p>
    <w:p>
      <w:pPr>
        <w:spacing w:line="360" w:lineRule="auto"/>
        <w:ind w:firstLine="420" w:firstLineChars="200"/>
        <w:jc w:val="center"/>
      </w:pPr>
      <w:r>
        <w:rPr>
          <w:rFonts w:hint="eastAsia"/>
        </w:rPr>
        <w:drawing>
          <wp:inline distT="0" distB="0" distL="114300" distR="114300">
            <wp:extent cx="4484370" cy="2625725"/>
            <wp:effectExtent l="0" t="0" r="11430" b="3175"/>
            <wp:docPr id="20" name="图片 20" descr="QQ截图20181016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81016092901"/>
                    <pic:cNvPicPr>
                      <a:picLocks noChangeAspect="1"/>
                    </pic:cNvPicPr>
                  </pic:nvPicPr>
                  <pic:blipFill>
                    <a:blip r:embed="rId18"/>
                    <a:stretch>
                      <a:fillRect/>
                    </a:stretch>
                  </pic:blipFill>
                  <pic:spPr>
                    <a:xfrm>
                      <a:off x="0" y="0"/>
                      <a:ext cx="4484370" cy="2625725"/>
                    </a:xfrm>
                    <a:prstGeom prst="rect">
                      <a:avLst/>
                    </a:prstGeom>
                  </pic:spPr>
                </pic:pic>
              </a:graphicData>
            </a:graphic>
          </wp:inline>
        </w:drawing>
      </w:r>
    </w:p>
    <w:p>
      <w:pPr>
        <w:spacing w:line="360" w:lineRule="auto"/>
        <w:ind w:firstLine="420" w:firstLineChars="200"/>
        <w:jc w:val="center"/>
      </w:pPr>
      <w:r>
        <w:rPr>
          <w:rFonts w:hint="eastAsia"/>
        </w:rPr>
        <w:drawing>
          <wp:inline distT="0" distB="0" distL="114300" distR="114300">
            <wp:extent cx="4445000" cy="2832100"/>
            <wp:effectExtent l="0" t="0" r="12700" b="6350"/>
            <wp:docPr id="19" name="图片 19" descr="QQ截图2018101609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181016093729"/>
                    <pic:cNvPicPr>
                      <a:picLocks noChangeAspect="1"/>
                    </pic:cNvPicPr>
                  </pic:nvPicPr>
                  <pic:blipFill>
                    <a:blip r:embed="rId19"/>
                    <a:srcRect b="7450"/>
                    <a:stretch>
                      <a:fillRect/>
                    </a:stretch>
                  </pic:blipFill>
                  <pic:spPr>
                    <a:xfrm>
                      <a:off x="0" y="0"/>
                      <a:ext cx="4445000" cy="2832100"/>
                    </a:xfrm>
                    <a:prstGeom prst="rect">
                      <a:avLst/>
                    </a:prstGeom>
                  </pic:spPr>
                </pic:pic>
              </a:graphicData>
            </a:graphic>
          </wp:inline>
        </w:drawing>
      </w:r>
    </w:p>
    <w:p>
      <w:pPr>
        <w:spacing w:line="360" w:lineRule="auto"/>
        <w:ind w:firstLine="420" w:firstLineChars="200"/>
        <w:jc w:val="center"/>
      </w:pPr>
      <w:r>
        <w:rPr>
          <w:rFonts w:hint="eastAsia"/>
        </w:rPr>
        <w:drawing>
          <wp:inline distT="0" distB="0" distL="114300" distR="114300">
            <wp:extent cx="4394200" cy="3037840"/>
            <wp:effectExtent l="0" t="0" r="6350" b="10160"/>
            <wp:docPr id="18" name="图片 18" descr="QQ截图2018101609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81016093449"/>
                    <pic:cNvPicPr>
                      <a:picLocks noChangeAspect="1"/>
                    </pic:cNvPicPr>
                  </pic:nvPicPr>
                  <pic:blipFill>
                    <a:blip r:embed="rId20"/>
                    <a:stretch>
                      <a:fillRect/>
                    </a:stretch>
                  </pic:blipFill>
                  <pic:spPr>
                    <a:xfrm>
                      <a:off x="0" y="0"/>
                      <a:ext cx="4394200" cy="303784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bookmarkStart w:id="71" w:name="_Toc12653"/>
      <w:r>
        <w:rPr>
          <w:rFonts w:hint="eastAsia" w:ascii="宋体" w:hAnsi="宋体" w:eastAsia="宋体" w:cs="宋体"/>
          <w:sz w:val="24"/>
          <w:szCs w:val="24"/>
          <w:lang w:val="en-US" w:eastAsia="zh-CN"/>
        </w:rPr>
        <w:t>院落整治</w:t>
      </w:r>
      <w:bookmarkEnd w:id="7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村庄的院落组合的整治主要分为两大部分，分别是对原有形式较好院落的改造提升以及新建部分的院落形式的衔接统一。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充分尊重群众意愿，庭院满足农村生产、生活需求外，注重加强庭院绿化设计，院内绿化树种选择观赏性强、经济实用，以果树、本地树种和灌木花卉为主；庭院小路宜做铺装，庭院围墙采用砖墙。</w:t>
      </w:r>
    </w:p>
    <w:p>
      <w:pPr>
        <w:spacing w:line="360" w:lineRule="auto"/>
        <w:ind w:firstLine="420" w:firstLineChars="200"/>
        <w:jc w:val="center"/>
      </w:pPr>
      <w:r>
        <w:drawing>
          <wp:inline distT="0" distB="0" distL="114300" distR="114300">
            <wp:extent cx="5022850" cy="1536065"/>
            <wp:effectExtent l="0" t="0" r="6350" b="6985"/>
            <wp:docPr id="151553" name="Picture 9" descr="房屋-院落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3" name="Picture 9" descr="房屋-院落副本"/>
                    <pic:cNvPicPr>
                      <a:picLocks noChangeAspect="1"/>
                    </pic:cNvPicPr>
                  </pic:nvPicPr>
                  <pic:blipFill>
                    <a:blip r:embed="rId21"/>
                    <a:srcRect l="1953" t="61397" r="16277" b="3223"/>
                    <a:stretch>
                      <a:fillRect/>
                    </a:stretch>
                  </pic:blipFill>
                  <pic:spPr>
                    <a:xfrm flipV="1">
                      <a:off x="0" y="0"/>
                      <a:ext cx="5022850" cy="1536065"/>
                    </a:xfrm>
                    <a:prstGeom prst="rect">
                      <a:avLst/>
                    </a:prstGeom>
                    <a:noFill/>
                    <a:ln w="9525">
                      <a:noFill/>
                    </a:ln>
                  </pic:spPr>
                </pic:pic>
              </a:graphicData>
            </a:graphic>
          </wp:inline>
        </w:drawing>
      </w:r>
    </w:p>
    <w:p>
      <w:pPr>
        <w:spacing w:line="360" w:lineRule="auto"/>
        <w:ind w:firstLine="420" w:firstLineChars="200"/>
        <w:jc w:val="center"/>
      </w:pPr>
      <w:r>
        <w:drawing>
          <wp:inline distT="0" distB="0" distL="0" distR="0">
            <wp:extent cx="3128645" cy="4758690"/>
            <wp:effectExtent l="0" t="0" r="1460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cstate="print">
                      <a:extLst>
                        <a:ext uri="{28A0092B-C50C-407E-A947-70E740481C1C}">
                          <a14:useLocalDpi xmlns:a14="http://schemas.microsoft.com/office/drawing/2010/main" val="0"/>
                        </a:ext>
                      </a:extLst>
                    </a:blip>
                    <a:srcRect l="4415" t="10574" r="56981" b="6398"/>
                    <a:stretch>
                      <a:fillRect/>
                    </a:stretch>
                  </pic:blipFill>
                  <pic:spPr>
                    <a:xfrm>
                      <a:off x="0" y="0"/>
                      <a:ext cx="3128645" cy="4758690"/>
                    </a:xfrm>
                    <a:prstGeom prst="rect">
                      <a:avLst/>
                    </a:prstGeom>
                  </pic:spPr>
                </pic:pic>
              </a:graphicData>
            </a:graphic>
          </wp:inline>
        </w:drawing>
      </w:r>
    </w:p>
    <w:p>
      <w:pPr>
        <w:spacing w:line="360" w:lineRule="auto"/>
        <w:ind w:firstLine="420" w:firstLineChars="200"/>
        <w:jc w:val="center"/>
      </w:pPr>
    </w:p>
    <w:p>
      <w:pPr>
        <w:pStyle w:val="5"/>
        <w:keepNext/>
        <w:keepLines/>
        <w:pageBreakBefore w:val="0"/>
        <w:widowControl w:val="0"/>
        <w:kinsoku/>
        <w:wordWrap/>
        <w:overflowPunct/>
        <w:topLinePunct w:val="0"/>
        <w:autoSpaceDE/>
        <w:autoSpaceDN/>
        <w:bidi w:val="0"/>
        <w:adjustRightInd/>
        <w:snapToGrid/>
        <w:spacing w:before="120" w:after="120" w:line="240" w:lineRule="auto"/>
        <w:ind w:left="0" w:leftChars="0" w:right="0" w:rightChars="0" w:firstLine="482" w:firstLineChars="200"/>
        <w:jc w:val="both"/>
        <w:textAlignment w:val="auto"/>
        <w:outlineLvl w:val="2"/>
        <w:rPr>
          <w:rFonts w:hint="eastAsia"/>
          <w:sz w:val="24"/>
          <w:szCs w:val="24"/>
          <w:lang w:val="en-US" w:eastAsia="zh-CN"/>
        </w:rPr>
      </w:pPr>
      <w:bookmarkStart w:id="72" w:name="_Toc525840683"/>
      <w:bookmarkStart w:id="73" w:name="_Toc9756"/>
      <w:bookmarkStart w:id="74" w:name="_Toc28974"/>
      <w:r>
        <w:rPr>
          <w:rFonts w:hint="eastAsia"/>
          <w:sz w:val="24"/>
          <w:szCs w:val="24"/>
          <w:lang w:val="en-US" w:eastAsia="zh-CN"/>
        </w:rPr>
        <w:t>道路交通安全设施整治</w:t>
      </w:r>
      <w:bookmarkEnd w:id="72"/>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城市级道路交通依照临夏市临夏县城市总体规划要求建设。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结合村庄区域交通特点以及现状道路条件考虑，规划道路系统分为三级：通村道路、通社道路和宅前道路三个类别。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结合村庄日常使用需求，规划道路断面类型均采用一块板形式。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通村道路：规划红线宽度7米，无人行道，道路一侧留1米作为明渠及绿化用。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通社道路：规划红线宽度5米，无人行道，道路一侧留0.6米作为明渠及绿化用。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宅前道路：规划红线宽度4米，无人行道，道路两侧留0.6米作为暗渠及绿化用。</w:t>
      </w:r>
    </w:p>
    <w:p>
      <w:pPr>
        <w:jc w:val="center"/>
      </w:pPr>
      <w:r>
        <w:drawing>
          <wp:inline distT="0" distB="0" distL="0" distR="0">
            <wp:extent cx="5251450" cy="1263650"/>
            <wp:effectExtent l="0" t="0" r="6350" b="1270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51450" cy="1263650"/>
                    </a:xfrm>
                    <a:prstGeom prst="rect">
                      <a:avLst/>
                    </a:prstGeom>
                  </pic:spPr>
                </pic:pic>
              </a:graphicData>
            </a:graphic>
          </wp:inline>
        </w:drawing>
      </w:r>
    </w:p>
    <w:p>
      <w:pPr>
        <w:jc w:val="center"/>
        <w:rPr>
          <w:rFonts w:asciiTheme="minorEastAsia" w:hAnsiTheme="minorEastAsia"/>
          <w:b/>
          <w:bCs/>
          <w:color w:val="000000" w:themeColor="text1"/>
          <w:sz w:val="24"/>
          <w:szCs w:val="28"/>
          <w14:textFill>
            <w14:solidFill>
              <w14:schemeClr w14:val="tx1"/>
            </w14:solidFill>
          </w14:textFill>
        </w:rPr>
      </w:pPr>
      <w:r>
        <w:rPr>
          <w:rFonts w:hint="eastAsia" w:asciiTheme="minorEastAsia" w:hAnsiTheme="minorEastAsia"/>
          <w:b/>
          <w:bCs/>
          <w:color w:val="000000" w:themeColor="text1"/>
          <w:sz w:val="24"/>
          <w:szCs w:val="28"/>
          <w14:textFill>
            <w14:solidFill>
              <w14:schemeClr w14:val="tx1"/>
            </w14:solidFill>
          </w14:textFill>
        </w:rPr>
        <w:t>村庄规划道路断面形式</w:t>
      </w:r>
    </w:p>
    <w:p>
      <w:pPr>
        <w:pStyle w:val="2"/>
        <w:jc w:val="center"/>
        <w:sectPr>
          <w:headerReference r:id="rId3" w:type="default"/>
          <w:pgSz w:w="11906" w:h="16838"/>
          <w:pgMar w:top="1440" w:right="1080" w:bottom="1440" w:left="1080" w:header="851" w:footer="992" w:gutter="0"/>
          <w:cols w:space="425" w:num="1"/>
          <w:docGrid w:type="lines" w:linePitch="312" w:charSpace="0"/>
        </w:sectPr>
      </w:pPr>
      <w:r>
        <w:rPr>
          <w:color w:val="000000" w:themeColor="text1"/>
          <w14:textFill>
            <w14:solidFill>
              <w14:schemeClr w14:val="tx1"/>
            </w14:solidFill>
          </w14:textFill>
        </w:rPr>
        <w:drawing>
          <wp:inline distT="0" distB="0" distL="0" distR="0">
            <wp:extent cx="2773680" cy="3664585"/>
            <wp:effectExtent l="0" t="0" r="7620" b="1206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2773680" cy="3664585"/>
                    </a:xfrm>
                    <a:prstGeom prst="rect">
                      <a:avLst/>
                    </a:prstGeom>
                  </pic:spPr>
                </pic:pic>
              </a:graphicData>
            </a:graphic>
          </wp:inline>
        </w:drawing>
      </w:r>
      <w:r>
        <w:rPr>
          <w:color w:val="000000" w:themeColor="text1"/>
          <w14:textFill>
            <w14:solidFill>
              <w14:schemeClr w14:val="tx1"/>
            </w14:solidFill>
          </w14:textFill>
        </w:rPr>
        <w:drawing>
          <wp:inline distT="0" distB="0" distL="0" distR="0">
            <wp:extent cx="2919095" cy="3669665"/>
            <wp:effectExtent l="0" t="0" r="1460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a:stretch>
                      <a:fillRect/>
                    </a:stretch>
                  </pic:blipFill>
                  <pic:spPr>
                    <a:xfrm>
                      <a:off x="0" y="0"/>
                      <a:ext cx="2919095" cy="3669665"/>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left"/>
        <w:textAlignment w:val="auto"/>
        <w:outlineLvl w:val="0"/>
        <w:rPr>
          <w:rFonts w:hint="eastAsia"/>
          <w:sz w:val="32"/>
          <w:szCs w:val="32"/>
          <w:lang w:val="en-US" w:eastAsia="zh-CN"/>
        </w:rPr>
      </w:pPr>
      <w:r>
        <w:rPr>
          <w:rFonts w:hint="eastAsia"/>
          <w:sz w:val="32"/>
          <w:szCs w:val="32"/>
          <w:lang w:val="en-US" w:eastAsia="zh-CN"/>
        </w:rPr>
        <w:t>近期建设规划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近期至2025年，规划村庄重点建设项目总投资估算共计约321.00万元，远期至2035年，建设项目总投资估算共计约515.30万元。</w:t>
      </w:r>
    </w:p>
    <w:p>
      <w:pPr>
        <w:ind w:firstLine="482" w:firstLineChars="200"/>
        <w:jc w:val="center"/>
        <w:rPr>
          <w:b/>
          <w:bCs/>
          <w:sz w:val="24"/>
          <w:szCs w:val="24"/>
        </w:rPr>
      </w:pPr>
      <w:r>
        <w:rPr>
          <w:rFonts w:hint="eastAsia"/>
          <w:b/>
          <w:bCs/>
          <w:sz w:val="24"/>
          <w:szCs w:val="24"/>
        </w:rPr>
        <w:t>建设项目计划表</w:t>
      </w:r>
    </w:p>
    <w:tbl>
      <w:tblPr>
        <w:tblStyle w:val="17"/>
        <w:tblW w:w="208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25"/>
        <w:gridCol w:w="2103"/>
        <w:gridCol w:w="2811"/>
        <w:gridCol w:w="1020"/>
        <w:gridCol w:w="2397"/>
        <w:gridCol w:w="2392"/>
        <w:gridCol w:w="2396"/>
        <w:gridCol w:w="2104"/>
        <w:gridCol w:w="1837"/>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639" w:type="dxa"/>
            <w:gridSpan w:val="3"/>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　</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单位</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单价（元）</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规模</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投入（万元）</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近期</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征地拆迁</w:t>
            </w:r>
          </w:p>
        </w:tc>
        <w:tc>
          <w:tcPr>
            <w:tcW w:w="2103"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拆迁及补偿</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土木结构</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平方米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800.00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160.00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砖混结构</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平方米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500.00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13119" w:type="dxa"/>
            <w:gridSpan w:val="6"/>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小计</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 xml:space="preserve">210.00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 xml:space="preserve">210.00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atLeast"/>
          <w:jc w:val="center"/>
        </w:trPr>
        <w:tc>
          <w:tcPr>
            <w:tcW w:w="1725"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基础设施</w:t>
            </w:r>
          </w:p>
        </w:tc>
        <w:tc>
          <w:tcPr>
            <w:tcW w:w="2103"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道路建设</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村庄主要道路景观建设</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宅间道硬化</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平方米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雨水设施建设</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明渠建设</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80.00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2800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22.40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暗渠建设</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5300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53.00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污水设施建设</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管网建设</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180.00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36.00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36.00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检查井</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个</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1200.00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环卫设施建设</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公共厕所</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座</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80000.00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16.00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村庄亮化</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节能路灯</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盏</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100.00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13119" w:type="dxa"/>
            <w:gridSpan w:val="6"/>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小计</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263.60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163.20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103.40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开敞空间</w:t>
            </w:r>
          </w:p>
        </w:tc>
        <w:tc>
          <w:tcPr>
            <w:tcW w:w="2103"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开敞空间</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篮球场</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个</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15000.00（塑胶）</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乒乓球场</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个</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0.60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0.30</w:t>
            </w:r>
          </w:p>
        </w:tc>
        <w:tc>
          <w:tcPr>
            <w:tcW w:w="2104" w:type="dxa"/>
            <w:shd w:val="clear" w:color="auto" w:fill="auto"/>
            <w:tcMar>
              <w:top w:w="6" w:type="dxa"/>
              <w:left w:w="6" w:type="dxa"/>
              <w:bottom w:w="0" w:type="dxa"/>
              <w:right w:w="6" w:type="dxa"/>
            </w:tcMar>
            <w:vAlign w:val="center"/>
          </w:tcPr>
          <w:p>
            <w:pPr>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健身器材</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组</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600.00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1.20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0.60</w:t>
            </w:r>
          </w:p>
        </w:tc>
        <w:tc>
          <w:tcPr>
            <w:tcW w:w="2104" w:type="dxa"/>
            <w:shd w:val="clear" w:color="auto" w:fill="auto"/>
            <w:tcMar>
              <w:top w:w="6" w:type="dxa"/>
              <w:left w:w="6" w:type="dxa"/>
              <w:bottom w:w="0" w:type="dxa"/>
              <w:right w:w="6" w:type="dxa"/>
            </w:tcMar>
            <w:vAlign w:val="center"/>
          </w:tcPr>
          <w:p>
            <w:pPr>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乡村舞台</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座</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20000.00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2.00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亭子</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座</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20000.00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风雨长廊</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座</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景观绿化</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平方米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150.00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45.00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雕塑、座椅</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座</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0.50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硬质铺装</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平方米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2103"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入口空间</w:t>
            </w:r>
          </w:p>
        </w:tc>
        <w:tc>
          <w:tcPr>
            <w:tcW w:w="2811"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牌坊</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座</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100000.00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13119" w:type="dxa"/>
            <w:gridSpan w:val="6"/>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小计</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122.3</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73.4</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restart"/>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村庄整治</w:t>
            </w:r>
          </w:p>
        </w:tc>
        <w:tc>
          <w:tcPr>
            <w:tcW w:w="4914"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垃圾清理</w:t>
            </w:r>
          </w:p>
        </w:tc>
        <w:tc>
          <w:tcPr>
            <w:tcW w:w="8205" w:type="dxa"/>
            <w:gridSpan w:val="4"/>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分期投入</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4914"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沿街立面整治</w:t>
            </w:r>
          </w:p>
        </w:tc>
        <w:tc>
          <w:tcPr>
            <w:tcW w:w="1020"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平方米</w:t>
            </w:r>
          </w:p>
        </w:tc>
        <w:tc>
          <w:tcPr>
            <w:tcW w:w="4789"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120.00 </w:t>
            </w:r>
          </w:p>
        </w:tc>
        <w:tc>
          <w:tcPr>
            <w:tcW w:w="2396"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3000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36.00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4914"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其他房屋修缮整治</w:t>
            </w:r>
          </w:p>
        </w:tc>
        <w:tc>
          <w:tcPr>
            <w:tcW w:w="8205" w:type="dxa"/>
            <w:gridSpan w:val="4"/>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整体投入</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30.00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4914"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村庄线网修缮整治</w:t>
            </w:r>
          </w:p>
        </w:tc>
        <w:tc>
          <w:tcPr>
            <w:tcW w:w="8205" w:type="dxa"/>
            <w:gridSpan w:val="4"/>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整体投入</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4914"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村庄整体绿化</w:t>
            </w:r>
          </w:p>
        </w:tc>
        <w:tc>
          <w:tcPr>
            <w:tcW w:w="8205" w:type="dxa"/>
            <w:gridSpan w:val="4"/>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整体投入</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80.00 </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725" w:type="dxa"/>
            <w:vMerge w:val="continue"/>
            <w:shd w:val="clear" w:color="auto" w:fill="auto"/>
            <w:vAlign w:val="center"/>
          </w:tcPr>
          <w:p>
            <w:pPr>
              <w:rPr>
                <w:rFonts w:hint="eastAsia" w:ascii="宋体" w:hAnsi="宋体" w:eastAsia="宋体" w:cs="宋体"/>
                <w:color w:val="000000" w:themeColor="text1"/>
                <w:sz w:val="21"/>
                <w:szCs w:val="21"/>
                <w14:textFill>
                  <w14:solidFill>
                    <w14:schemeClr w14:val="tx1"/>
                  </w14:solidFill>
                </w14:textFill>
              </w:rPr>
            </w:pPr>
          </w:p>
        </w:tc>
        <w:tc>
          <w:tcPr>
            <w:tcW w:w="13119" w:type="dxa"/>
            <w:gridSpan w:val="6"/>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小计</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216.00</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75.00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4844" w:type="dxa"/>
            <w:gridSpan w:val="7"/>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总计</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811.9</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311.6</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056" w:type="dxa"/>
            <w:gridSpan w:val="5"/>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不可预见投资</w:t>
            </w:r>
          </w:p>
        </w:tc>
        <w:tc>
          <w:tcPr>
            <w:tcW w:w="4788" w:type="dxa"/>
            <w:gridSpan w:val="2"/>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总投资的3%</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24.4</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9.40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4" w:hRule="atLeast"/>
          <w:jc w:val="center"/>
        </w:trPr>
        <w:tc>
          <w:tcPr>
            <w:tcW w:w="14844" w:type="dxa"/>
            <w:gridSpan w:val="7"/>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合计</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836.3</w:t>
            </w:r>
          </w:p>
        </w:tc>
        <w:tc>
          <w:tcPr>
            <w:tcW w:w="1837"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321.00</w:t>
            </w:r>
          </w:p>
        </w:tc>
        <w:tc>
          <w:tcPr>
            <w:tcW w:w="2104" w:type="dxa"/>
            <w:shd w:val="clear" w:color="auto" w:fill="auto"/>
            <w:tcMar>
              <w:top w:w="6" w:type="dxa"/>
              <w:left w:w="6" w:type="dxa"/>
              <w:bottom w:w="0" w:type="dxa"/>
              <w:right w:w="6"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515.30</w:t>
            </w:r>
          </w:p>
        </w:tc>
      </w:tr>
    </w:tbl>
    <w:p>
      <w:pPr>
        <w:spacing w:line="360" w:lineRule="auto"/>
        <w:ind w:firstLine="420" w:firstLineChars="200"/>
        <w:jc w:val="left"/>
      </w:pPr>
    </w:p>
    <w:sectPr>
      <w:pgSz w:w="23757" w:h="16783"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A0204"/>
    <w:charset w:val="00"/>
    <w:family w:val="roman"/>
    <w:pitch w:val="default"/>
    <w:sig w:usb0="E00002FF" w:usb1="4000045F" w:usb2="00000000"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auto"/>
    <w:pitch w:val="default"/>
    <w:sig w:usb0="0000000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042FD9"/>
    <w:multiLevelType w:val="singleLevel"/>
    <w:tmpl w:val="9F042FD9"/>
    <w:lvl w:ilvl="0" w:tentative="0">
      <w:start w:val="1"/>
      <w:numFmt w:val="bullet"/>
      <w:lvlText w:val=""/>
      <w:lvlJc w:val="left"/>
      <w:pPr>
        <w:ind w:left="420" w:hanging="420"/>
      </w:pPr>
      <w:rPr>
        <w:rFonts w:hint="default" w:ascii="Wingdings" w:hAnsi="Wingdings"/>
      </w:rPr>
    </w:lvl>
  </w:abstractNum>
  <w:abstractNum w:abstractNumId="1">
    <w:nsid w:val="28772EF6"/>
    <w:multiLevelType w:val="multilevel"/>
    <w:tmpl w:val="28772EF6"/>
    <w:lvl w:ilvl="0" w:tentative="0">
      <w:start w:val="1"/>
      <w:numFmt w:val="chineseCounting"/>
      <w:pStyle w:val="3"/>
      <w:suff w:val="nothing"/>
      <w:lvlText w:val="%1、"/>
      <w:lvlJc w:val="left"/>
      <w:pPr>
        <w:ind w:left="0" w:firstLine="0"/>
      </w:pPr>
      <w:rPr>
        <w:rFonts w:hint="eastAsia"/>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2D1"/>
    <w:rsid w:val="000A242B"/>
    <w:rsid w:val="000B300D"/>
    <w:rsid w:val="001524EB"/>
    <w:rsid w:val="00186FA0"/>
    <w:rsid w:val="001C7538"/>
    <w:rsid w:val="001E170D"/>
    <w:rsid w:val="001E4C84"/>
    <w:rsid w:val="002512D1"/>
    <w:rsid w:val="00345892"/>
    <w:rsid w:val="003D5D03"/>
    <w:rsid w:val="003F4B8B"/>
    <w:rsid w:val="004421C0"/>
    <w:rsid w:val="004E2192"/>
    <w:rsid w:val="004E6BF5"/>
    <w:rsid w:val="00500168"/>
    <w:rsid w:val="00500458"/>
    <w:rsid w:val="005046C6"/>
    <w:rsid w:val="005620E3"/>
    <w:rsid w:val="00574355"/>
    <w:rsid w:val="005A11E8"/>
    <w:rsid w:val="005B59AE"/>
    <w:rsid w:val="005D1C35"/>
    <w:rsid w:val="0063036A"/>
    <w:rsid w:val="00760937"/>
    <w:rsid w:val="00867F9F"/>
    <w:rsid w:val="008C5DFE"/>
    <w:rsid w:val="00986F99"/>
    <w:rsid w:val="009A6A13"/>
    <w:rsid w:val="009D5373"/>
    <w:rsid w:val="009D6C87"/>
    <w:rsid w:val="00A1109F"/>
    <w:rsid w:val="00B51A22"/>
    <w:rsid w:val="00B939F3"/>
    <w:rsid w:val="00BB5DC9"/>
    <w:rsid w:val="00CC252A"/>
    <w:rsid w:val="00CD3802"/>
    <w:rsid w:val="00DB7486"/>
    <w:rsid w:val="00DD5633"/>
    <w:rsid w:val="00F60E50"/>
    <w:rsid w:val="00F8616E"/>
    <w:rsid w:val="00F90CEE"/>
    <w:rsid w:val="00F946A6"/>
    <w:rsid w:val="00FD3CA2"/>
    <w:rsid w:val="045F3E30"/>
    <w:rsid w:val="17FD19EE"/>
    <w:rsid w:val="25286714"/>
    <w:rsid w:val="2AA35291"/>
    <w:rsid w:val="37674FA4"/>
    <w:rsid w:val="41476D9E"/>
    <w:rsid w:val="470F629B"/>
    <w:rsid w:val="4811194A"/>
    <w:rsid w:val="56427E29"/>
    <w:rsid w:val="56A46FC8"/>
    <w:rsid w:val="59D43FE1"/>
    <w:rsid w:val="6D712178"/>
    <w:rsid w:val="764E1E34"/>
    <w:rsid w:val="76625A7D"/>
    <w:rsid w:val="782B7740"/>
    <w:rsid w:val="79DB4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numPr>
        <w:ilvl w:val="0"/>
        <w:numId w:val="1"/>
      </w:numPr>
      <w:spacing w:before="250" w:beforeLines="250"/>
      <w:ind w:left="0" w:firstLine="0" w:firstLineChars="0"/>
      <w:jc w:val="center"/>
      <w:outlineLvl w:val="0"/>
    </w:pPr>
    <w:rPr>
      <w:rFonts w:ascii="宋体" w:hAnsi="宋体" w:eastAsia="黑体"/>
      <w:b/>
      <w:bCs/>
      <w:color w:val="000000"/>
      <w:kern w:val="44"/>
      <w:sz w:val="32"/>
      <w:szCs w:val="36"/>
    </w:rPr>
  </w:style>
  <w:style w:type="paragraph" w:styleId="4">
    <w:name w:val="heading 2"/>
    <w:basedOn w:val="1"/>
    <w:next w:val="1"/>
    <w:semiHidden/>
    <w:unhideWhenUsed/>
    <w:qFormat/>
    <w:uiPriority w:val="9"/>
    <w:pPr>
      <w:keepNext/>
      <w:keepLines/>
      <w:numPr>
        <w:ilvl w:val="1"/>
        <w:numId w:val="1"/>
      </w:numPr>
      <w:spacing w:before="260" w:after="260" w:line="416" w:lineRule="auto"/>
      <w:ind w:left="0" w:firstLine="0"/>
      <w:outlineLvl w:val="1"/>
    </w:pPr>
    <w:rPr>
      <w:rFonts w:asciiTheme="majorHAnsi" w:hAnsiTheme="majorHAnsi" w:eastAsiaTheme="majorEastAsia" w:cstheme="majorBidi"/>
      <w:b/>
      <w:bCs/>
      <w:sz w:val="32"/>
      <w:szCs w:val="32"/>
    </w:rPr>
  </w:style>
  <w:style w:type="paragraph" w:styleId="5">
    <w:name w:val="heading 3"/>
    <w:basedOn w:val="1"/>
    <w:next w:val="1"/>
    <w:semiHidden/>
    <w:unhideWhenUsed/>
    <w:qFormat/>
    <w:uiPriority w:val="9"/>
    <w:pPr>
      <w:keepNext/>
      <w:keepLines/>
      <w:numPr>
        <w:ilvl w:val="2"/>
        <w:numId w:val="1"/>
      </w:numPr>
      <w:ind w:firstLine="400" w:firstLineChars="0"/>
      <w:outlineLvl w:val="2"/>
    </w:pPr>
    <w:rPr>
      <w:rFonts w:ascii="黑体" w:hAnsi="黑体" w:eastAsia="宋体"/>
      <w:b/>
      <w:bCs/>
      <w:color w:val="000000"/>
      <w:sz w:val="28"/>
      <w:szCs w:val="32"/>
    </w:rPr>
  </w:style>
  <w:style w:type="paragraph" w:styleId="6">
    <w:name w:val="heading 4"/>
    <w:basedOn w:val="1"/>
    <w:next w:val="1"/>
    <w:semiHidden/>
    <w:unhideWhenUsed/>
    <w:qFormat/>
    <w:uiPriority w:val="9"/>
    <w:pPr>
      <w:keepNext/>
      <w:keepLines/>
      <w:numPr>
        <w:ilvl w:val="3"/>
        <w:numId w:val="1"/>
      </w:numPr>
      <w:spacing w:before="100" w:beforeAutospacing="1" w:after="100" w:afterAutospacing="1" w:line="60" w:lineRule="auto"/>
      <w:ind w:firstLine="402" w:firstLineChars="0"/>
      <w:jc w:val="center"/>
      <w:outlineLvl w:val="3"/>
    </w:pPr>
    <w:rPr>
      <w:bCs/>
      <w:sz w:val="21"/>
      <w:szCs w:val="28"/>
    </w:rPr>
  </w:style>
  <w:style w:type="paragraph" w:styleId="7">
    <w:name w:val="heading 5"/>
    <w:basedOn w:val="1"/>
    <w:next w:val="1"/>
    <w:semiHidden/>
    <w:unhideWhenUsed/>
    <w:qFormat/>
    <w:uiPriority w:val="9"/>
    <w:pPr>
      <w:keepNext/>
      <w:keepLines/>
      <w:numPr>
        <w:ilvl w:val="4"/>
        <w:numId w:val="1"/>
      </w:numPr>
      <w:tabs>
        <w:tab w:val="left" w:pos="1008"/>
      </w:tabs>
      <w:spacing w:before="280" w:beforeLines="0" w:beforeAutospacing="0" w:after="290" w:afterLines="0" w:afterAutospacing="0" w:line="372" w:lineRule="auto"/>
      <w:ind w:left="0" w:firstLine="402" w:firstLineChars="0"/>
      <w:outlineLvl w:val="4"/>
    </w:pPr>
    <w:rPr>
      <w:b/>
      <w:sz w:val="28"/>
    </w:rPr>
  </w:style>
  <w:style w:type="paragraph" w:styleId="8">
    <w:name w:val="heading 6"/>
    <w:basedOn w:val="1"/>
    <w:next w:val="1"/>
    <w:semiHidden/>
    <w:unhideWhenUsed/>
    <w:qFormat/>
    <w:uiPriority w:val="9"/>
    <w:pPr>
      <w:keepNext/>
      <w:keepLines/>
      <w:numPr>
        <w:ilvl w:val="5"/>
        <w:numId w:val="1"/>
      </w:numPr>
      <w:tabs>
        <w:tab w:val="left" w:pos="1152"/>
      </w:tabs>
      <w:spacing w:before="240" w:beforeLines="0" w:beforeAutospacing="0" w:after="64" w:afterLines="0" w:afterAutospacing="0" w:line="317" w:lineRule="auto"/>
      <w:ind w:left="0" w:firstLine="402" w:firstLineChars="0"/>
      <w:outlineLvl w:val="5"/>
    </w:pPr>
    <w:rPr>
      <w:rFonts w:ascii="Arial" w:hAnsi="Arial" w:eastAsia="黑体"/>
      <w:b/>
      <w:sz w:val="24"/>
    </w:rPr>
  </w:style>
  <w:style w:type="paragraph" w:styleId="9">
    <w:name w:val="heading 7"/>
    <w:basedOn w:val="1"/>
    <w:next w:val="1"/>
    <w:semiHidden/>
    <w:unhideWhenUsed/>
    <w:qFormat/>
    <w:uiPriority w:val="9"/>
    <w:pPr>
      <w:keepNext/>
      <w:keepLines/>
      <w:numPr>
        <w:ilvl w:val="6"/>
        <w:numId w:val="1"/>
      </w:numPr>
      <w:tabs>
        <w:tab w:val="left" w:pos="1296"/>
      </w:tabs>
      <w:spacing w:before="240" w:beforeLines="0" w:beforeAutospacing="0" w:after="64" w:afterLines="0" w:afterAutospacing="0" w:line="317" w:lineRule="auto"/>
      <w:ind w:left="0" w:firstLine="402" w:firstLineChars="0"/>
      <w:outlineLvl w:val="6"/>
    </w:pPr>
    <w:rPr>
      <w:b/>
      <w:sz w:val="24"/>
    </w:rPr>
  </w:style>
  <w:style w:type="paragraph" w:styleId="10">
    <w:name w:val="heading 8"/>
    <w:basedOn w:val="1"/>
    <w:next w:val="1"/>
    <w:semiHidden/>
    <w:unhideWhenUsed/>
    <w:qFormat/>
    <w:uiPriority w:val="9"/>
    <w:pPr>
      <w:keepNext/>
      <w:keepLines/>
      <w:numPr>
        <w:ilvl w:val="7"/>
        <w:numId w:val="1"/>
      </w:numPr>
      <w:tabs>
        <w:tab w:val="left" w:pos="1440"/>
      </w:tabs>
      <w:spacing w:before="240" w:beforeLines="0" w:beforeAutospacing="0" w:after="64" w:afterLines="0" w:afterAutospacing="0" w:line="317" w:lineRule="auto"/>
      <w:ind w:left="0" w:firstLine="402" w:firstLineChars="0"/>
      <w:outlineLvl w:val="7"/>
    </w:pPr>
    <w:rPr>
      <w:rFonts w:ascii="Arial" w:hAnsi="Arial" w:eastAsia="黑体"/>
      <w:sz w:val="24"/>
    </w:rPr>
  </w:style>
  <w:style w:type="paragraph" w:styleId="11">
    <w:name w:val="heading 9"/>
    <w:basedOn w:val="1"/>
    <w:next w:val="1"/>
    <w:semiHidden/>
    <w:unhideWhenUsed/>
    <w:qFormat/>
    <w:uiPriority w:val="9"/>
    <w:pPr>
      <w:keepNext/>
      <w:keepLines/>
      <w:numPr>
        <w:ilvl w:val="8"/>
        <w:numId w:val="1"/>
      </w:numPr>
      <w:tabs>
        <w:tab w:val="left" w:pos="1584"/>
      </w:tabs>
      <w:spacing w:before="240" w:beforeLines="0" w:beforeAutospacing="0" w:after="64" w:afterLines="0" w:afterAutospacing="0" w:line="317" w:lineRule="auto"/>
      <w:ind w:left="0" w:firstLine="402" w:firstLineChars="0"/>
      <w:outlineLvl w:val="8"/>
    </w:pPr>
    <w:rPr>
      <w:rFonts w:ascii="Arial" w:hAnsi="Arial" w:eastAsia="黑体"/>
      <w:sz w:val="21"/>
    </w:rPr>
  </w:style>
  <w:style w:type="character" w:default="1" w:styleId="15">
    <w:name w:val="Default Paragraph Font"/>
    <w:semiHidden/>
    <w:unhideWhenUsed/>
    <w:uiPriority w:val="1"/>
  </w:style>
  <w:style w:type="table" w:default="1" w:styleId="17">
    <w:name w:val="Normal Table"/>
    <w:semiHidden/>
    <w:unhideWhenUsed/>
    <w:uiPriority w:val="99"/>
    <w:tblPr>
      <w:tblLayout w:type="fixed"/>
      <w:tblCellMar>
        <w:top w:w="0" w:type="dxa"/>
        <w:left w:w="108" w:type="dxa"/>
        <w:bottom w:w="0" w:type="dxa"/>
        <w:right w:w="108" w:type="dxa"/>
      </w:tblCellMar>
    </w:tblPr>
  </w:style>
  <w:style w:type="paragraph" w:styleId="2">
    <w:name w:val="Title"/>
    <w:basedOn w:val="1"/>
    <w:next w:val="1"/>
    <w:qFormat/>
    <w:uiPriority w:val="10"/>
    <w:pPr>
      <w:jc w:val="center"/>
      <w:outlineLvl w:val="0"/>
    </w:pPr>
    <w:rPr>
      <w:rFonts w:ascii="Arial" w:hAnsi="Arial"/>
      <w:b/>
      <w:sz w:val="32"/>
    </w:rPr>
  </w:style>
  <w:style w:type="paragraph" w:styleId="12">
    <w:name w:val="footer"/>
    <w:basedOn w:val="1"/>
    <w:link w:val="20"/>
    <w:unhideWhenUsed/>
    <w:uiPriority w:val="99"/>
    <w:pPr>
      <w:tabs>
        <w:tab w:val="center" w:pos="4153"/>
        <w:tab w:val="right" w:pos="8306"/>
      </w:tabs>
      <w:snapToGrid w:val="0"/>
      <w:jc w:val="left"/>
    </w:pPr>
    <w:rPr>
      <w:sz w:val="18"/>
      <w:szCs w:val="18"/>
    </w:rPr>
  </w:style>
  <w:style w:type="paragraph" w:styleId="13">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6">
    <w:name w:val="Strong"/>
    <w:basedOn w:val="15"/>
    <w:qFormat/>
    <w:uiPriority w:val="22"/>
    <w:rPr>
      <w:b/>
      <w:bCs/>
    </w:rPr>
  </w:style>
  <w:style w:type="paragraph" w:customStyle="1" w:styleId="18">
    <w:name w:val="列出段落1"/>
    <w:basedOn w:val="1"/>
    <w:qFormat/>
    <w:uiPriority w:val="34"/>
    <w:pPr>
      <w:ind w:firstLine="420" w:firstLineChars="200"/>
    </w:pPr>
  </w:style>
  <w:style w:type="character" w:customStyle="1" w:styleId="19">
    <w:name w:val="页眉 Char"/>
    <w:basedOn w:val="15"/>
    <w:link w:val="13"/>
    <w:uiPriority w:val="99"/>
    <w:rPr>
      <w:sz w:val="18"/>
      <w:szCs w:val="18"/>
    </w:rPr>
  </w:style>
  <w:style w:type="character" w:customStyle="1" w:styleId="20">
    <w:name w:val="页脚 Char"/>
    <w:basedOn w:val="15"/>
    <w:link w:val="1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1010</Words>
  <Characters>5759</Characters>
  <Lines>47</Lines>
  <Paragraphs>13</Paragraphs>
  <TotalTime>0</TotalTime>
  <ScaleCrop>false</ScaleCrop>
  <LinksUpToDate>false</LinksUpToDate>
  <CharactersWithSpaces>6756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2018-10-15T01:36:00Z</dcterms:created>
  <dc:creator>微软用户</dc:creator>
  <cp:lastModifiedBy>Administrator</cp:lastModifiedBy>
  <dcterms:modified xsi:type="dcterms:W3CDTF">2019-12-19T02:32:42Z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