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临夏回族自治州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2022年国民经济和社会发展统计公报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"/>
        </w:rPr>
        <w:t>临夏回族自治州统计局 国家统计局临夏调查队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"/>
        </w:rPr>
        <w:t>2023年3月31日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面对严峻复杂的外部环境和州内延宕反复的疫情冲击，在州委、州政府的坚强领导下，全州上下坚持以习近平新时代中国特色社会主义思想为指导，认真学习贯彻党的二十大精神，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按照省第十四次党代会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 w:eastAsia="zh-CN"/>
        </w:rPr>
        <w:t>和州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第十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u w:val="none"/>
          <w:shd w:val="clear" w:color="auto" w:fill="FFFFFF"/>
        </w:rPr>
        <w:t>次党代会部署，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全面落实疫情要防住、经济要稳住、发展要安全的要求，高效统筹疫情防控和经济社会发展，全面落实稳经济一揽子政策及接续政策措施，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全州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经济总量再上新台阶，人民生活品质得到新提升，高质量发展取得新成效，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全面建设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社会主义现代化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幸福美好新临夏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迈出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了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坚实步伐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一、综合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初步核算，全年全州地区生产总值408.6亿元，比上年增长6.0%。其中，第一产业增加值75.8亿元，比上年增长5.6%；第二产业增加值82.3亿元，增长10.6%；第三产业增加值250.5亿元，增长4.8%。第一产业增加值占地区生产总值比重为18.5%，第二产业增加值比重为20.2%，第三产业增加值比重为61.3%。按常住人口计算，全年人均地区生产总值19271元，比上年增长5.7%。全年全州万元地区生产总值能耗比上年下降5.1%。</w:t>
      </w:r>
    </w:p>
    <w:tbl>
      <w:tblPr>
        <w:tblStyle w:val="8"/>
        <w:tblW w:w="8040" w:type="dxa"/>
        <w:jc w:val="center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1648"/>
        <w:gridCol w:w="1648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040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表1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2022年全州地区生产总值及其构成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(%)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408.6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75.8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82.3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农林牧渔业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79.3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-4.4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48.9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22.9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-3.7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-9.3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28.5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25.1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146.7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35.9</w:t>
            </w:r>
          </w:p>
        </w:tc>
      </w:tr>
    </w:tbl>
    <w:p/>
    <w:p>
      <w:pPr>
        <w:pStyle w:val="2"/>
        <w:jc w:val="center"/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203200</wp:posOffset>
                </wp:positionV>
                <wp:extent cx="279400" cy="252095"/>
                <wp:effectExtent l="5080" t="4445" r="2032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08370" y="5499100"/>
                          <a:ext cx="2794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pt;margin-top:16pt;height:19.85pt;width:22pt;z-index:251661312;mso-width-relative:page;mso-height-relative:page;" fillcolor="#FFFFFF [3201]" filled="t" stroked="t" coordsize="21600,21600" o:gfxdata="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K&#10;elL92AAAAAkBAAAPAAAAAAAAAAEAIAAAACIAAABkcnMvZG93bnJldi54bWxQSwECFAAUAAAACACH&#10;TuJAFsbXdF0CAADDBAAADgAAAAAAAAABACAAAAAnAQAAZHJzL2Uyb0RvYy54bWxQSwUGAAAAAAYA&#10;BgBZAQAA9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161280" cy="2926715"/>
            <wp:effectExtent l="0" t="0" r="1270" b="698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900295" cy="2782570"/>
            <wp:effectExtent l="0" t="0" r="14605" b="17780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029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年末全州常住人口212.40万人，比上年末增加0.74万人。其中，城镇人口82.87万人，比上年末增加2.42万人；乡村人口129.53万人，比上年末减少1.68万人。城镇人口占全州常住人口的比重（城镇化率）为39.02%，比上年末提高1.01个百分点。在常住人口中男性106.77万人，女性105.63万人，人口性别比101.08（以女性为100）。全年全州出生人口2.87万人，出生率为13.54‰；死亡人口1.71万人，死亡率为8.07‰；人口自然增长率为5.47‰。</w:t>
      </w:r>
    </w:p>
    <w:tbl>
      <w:tblPr>
        <w:tblStyle w:val="8"/>
        <w:tblW w:w="8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847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临夏州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年末常住人口数及其构成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3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年末数（万人）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全州常住人口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212.40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其中：城镇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82.87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129.53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106.77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其中：0-15岁（含不满16周岁）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62.59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16-59岁（含不满60周岁）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120.18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60周岁及以上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29.63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432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其中：65周岁及以上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23.08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全年城镇新增就业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万人，失业人员中实现再就业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万人。城镇登记失业率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3.63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%。全年输转城乡富余劳动力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57.1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万人，同比增长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%；创劳务收入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150.4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亿元，增长5.6%。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全年居民消费价格比上年上涨2.0%，商品零售价格上涨2.6%。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全年新登记市场主体17689户，日均新登记48户，年末市场主体总数达138537户。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二、农业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全年全州粮食种植面积186.89万亩，同比增长0.71%。其中，夏粮种植面积36.98万亩、增长3.14%，秋粮种植面积149.91万亩、增长0.13%。小麦种植面积29.48万亩、增长2.9%，玉米种植面积103.84万亩、增长0.51%，马铃薯种植面积44.9万亩、增长0.96%。蔬菜种植面积21.83万亩、增长0.27%，中药材种植面积13.56万亩、增长21.17%，果园面积5.84万亩、增长6.14%，油料种植面积23.89万亩、增长1.28%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全年实现农业总产值138.1亿元，同比增长7.4%。粮食总产量72.31万吨、增长2.12%。其中，夏粮产量10.69万吨、增长4.8%，秋粮产量61.62万吨、增长1.67%。小麦产量9.0万吨、增长4.62%，玉米产量48.82万吨、增长1.88%，马铃薯产量12.6万吨、增长1.89%。蔬菜产量46.72万吨、增长1.74%，中药材产量5.57万吨、增长15.26%，园林水果产量5.55万吨、增长6.58%，油料产量5.35万吨、下降6.22%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17145</wp:posOffset>
            </wp:positionV>
            <wp:extent cx="5044440" cy="3039745"/>
            <wp:effectExtent l="4445" t="4445" r="18415" b="22860"/>
            <wp:wrapNone/>
            <wp:docPr id="15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全年肉类总产量7.02万吨、增长6.2%，鸡蛋产量0.71万吨、下降25.3%，牛奶产量3.95万吨、下降10.0%。大牲畜存栏43.3万头、增长4.2%，其中牛存栏40.3万头、增长4.6%，出栏16.1万头、增长4.2%。羊存栏191.5万只、增长5.9%，出栏177.5万只、增长8.0%；猪存栏31.2万头、增长1.5%，出栏27.4万头、增长5.1%；家禽存栏338.0万只、增长6.0%，出栏260.8万只、增长2.2%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年末全州农机总动力达到104.9万千瓦，比上年增加5.5万千瓦；各类拖拉机、联合收获机3.4万台。全州农作物机耕、机播、机收面积分别达到228.6万亩、89.8万亩、97.8万亩。全年水产品产量5528.9吨，新增节水灌溉面积70.8亩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lang w:val="en-US" w:eastAsia="zh-CN" w:bidi="ar"/>
        </w:rPr>
        <w:t>三、工业和建筑业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全年全州全部工业增加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值33.5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亿元、同比下降4.4%。规模以上工业增加值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同比下降4.0%，分经济类型看，国有及国有控股企业增加值下降15.5%，股份制企业增长1.2%，私营企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业增长12.9%。分三大门类看，采矿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业增长26.6%，制造业下降6.4%，电力、热力、燃气及水生产和供应业下降3.6%。从隶属关系看，中央企业下降26.6%，省属企业下降8.1%，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 w:bidi="ar"/>
        </w:rPr>
        <w:t>地方企业增长11.7%。</w:t>
      </w:r>
    </w:p>
    <w:p>
      <w:pPr>
        <w:pStyle w:val="2"/>
        <w:jc w:val="center"/>
      </w:pPr>
      <w:r>
        <w:drawing>
          <wp:inline distT="0" distB="0" distL="114300" distR="114300">
            <wp:extent cx="5067935" cy="2968625"/>
            <wp:effectExtent l="4445" t="4445" r="13970" b="17780"/>
            <wp:docPr id="19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8"/>
        <w:tblW w:w="8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913"/>
        <w:gridCol w:w="1729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2022年全州规上工业企业主要工业产品产量及其增长速度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7791.4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氮肥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6372.2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-25.3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鲜、冷藏肉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-80.5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27554.5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-22.3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加气块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5216.2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95.9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年末全州发电装机容量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285.0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万千瓦。其中，水电装机容量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272.0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万千瓦，光伏装机容量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13.0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万千瓦。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全年建筑业增加值48.9亿元，比上年增长22.9%。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四、服务业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全年全州规模以上服务业企业营业收入比上年增长2.7%，利润总额下降43.5%。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全年公路货物运输总量7059.1万吨，同比下降4.5%；公路货物运输周转量1371001.1万吨公里，同比增长11.8%。全年公路客运总量1468.6万人，同比下降23.3%；公路客运周转量74425.0万人公里，同比下降26.2%。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完成邮政行业业务总量3393.4万件，同比增长13.0%。全州邮政寄递服务业务量累计完成2673.0万件，同比增长18.5%；快递服务企业业务量累计完成720.4万件，同比下降3.6%。全年完成电信业务总量17.3亿元（2020年不变价计算），同比增长21.5%。到2022年底，全州共有铁塔4454座，4G基站8894个，5G基站2142个。全州电话用户总数209.6万户，其中移动电话用户194.0万户，固定电话用户15.6万户。年末有线宽带用户58.47万户，其中农村用户33.04万户，城市用户25.43万户。全年移动互联网用户接入流量4.0亿GB，同比增长18.6%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五、国内贸易和对外经济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完成社会消费品零售总额108.6亿元，同比下降7.5%。按经营地统计，城镇消费品零售额87.9亿元、同比下降7.8%，乡村消费品零售额20.7亿元、同比下降6.3%；按消费类型统计，商品零售额92.4亿元、同比下降7.1%，餐饮收入额16.2亿元、同比下降10.0%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限额以上单位商品零售额中，粮油、食品类零售额比上年增长15.5%，饮料类下降11.8%，烟酒类增长3.7%，服装、鞋帽、针纺织品类下降31.7%，化妆品类增长1.1%，日用品类增长13.6%，家用电器和音像器材类下降19.8%，中西药品类下降60.9%，文化办公用品类下降17.7%，建筑及装潢材料类下降58.8%，石油及制品类下降4.7%，汽车类下降28.1%。  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5280025" cy="3914140"/>
            <wp:effectExtent l="4445" t="4445" r="11430" b="571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全年货物进出口总额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10428.4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万元，比上年增长21.0%。其中，出口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6008.5万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元、下降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%，进口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4419.9万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元、增长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122.7%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六、固定资产投资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全年全州固定资产投资同比增长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30.0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%。按三次产业分，第一产业投资下降10.9%，第二产业投资增长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44.9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%，第三产业投资增长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30.6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%。按投资领域分，项目投资同比增长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21.2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%，房地产投资增长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58.7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%。按项目构成分，建筑安装工程增长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27.4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%，设备工器具购置增长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69.4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%，其他费用增长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.9%。其中，工业固投同比增长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44.6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%，民间投资增长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38.5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全年房地产开发投资比上年增长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58.7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其中住宅投资增长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61.3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%。全年全州商品房销售面积同比下降29.9%。年末商品房待售面积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万平方米，其中商品住宅待售面积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万平方米。</w:t>
      </w:r>
    </w:p>
    <w:p>
      <w:pPr>
        <w:pStyle w:val="2"/>
      </w:pPr>
      <w:r>
        <w:drawing>
          <wp:inline distT="0" distB="0" distL="114300" distR="114300">
            <wp:extent cx="5179060" cy="3294380"/>
            <wp:effectExtent l="4445" t="4445" r="17145" b="15875"/>
            <wp:docPr id="1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3"/>
      </w:pPr>
    </w:p>
    <w:p/>
    <w:p>
      <w:pPr>
        <w:pStyle w:val="2"/>
      </w:pPr>
    </w:p>
    <w:tbl>
      <w:tblPr>
        <w:tblStyle w:val="8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101"/>
        <w:gridCol w:w="1782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2022年房地产开发和销售主要指标及其增长速度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84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1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绝对数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#住宅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781.6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#住宅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205.8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#住宅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#住宅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#住宅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万平方米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本年实际到位资金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#国内贷款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84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sz w:val="20"/>
                <w:szCs w:val="20"/>
                <w:lang w:val="en-US" w:eastAsia="zh-CN" w:bidi="ar"/>
              </w:rPr>
              <w:t>#个人按揭贷款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七、财政金融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全年全州一般公共预算收入完成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20.9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亿元、同口径下降3.0%，其中税收收入完成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14.2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亿元，同口径增长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%；非税收入完成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亿元，同比下降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14.9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%。从主体税种看，国内增值税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亿元，同口径增长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%；企业所得税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7.6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%；个人所得税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33.7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%。一般公共预算支出完成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320.7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亿元、同比增长4.0%。其中，各类民生支出完成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259.0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亿元、同比增长0.1%。全年新增减税降费及退税缓税缓费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8.7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亿元，其中累计退到纳税人账户的增值税留抵退税款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亿元，新增减税降费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年末全州金融机构人民币各项存款余额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926.7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%。其中，住户存款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675.2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10.5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%；非金融企业存款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97.7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亿元、同比下降2.5%。全州金融机构人民币各项贷款余额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607.1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%。其中，住户贷款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364.8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亿元、同比下降0.2%；企事业单位贷款242.3亿元、同比增长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全年保费收入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15.5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亿元，比上年下降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%。其中，财产保险保费收入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8.5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亿元，比上年增长1.3%；人身保险保费收入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7.1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亿元，比上年下降9.5%。全年赔付额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亿元，比上年下降16.1%。其中，财产险赔付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4.8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亿元，比上年下降14.9%；寿险赔付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1.8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亿元，比上年下降18.9%。 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八、居民收入消费和社会保障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全年全州居民人均可支配收入15589.6元、比上年增长5.0%。按常住地分，城镇居民人均可支配收入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25773.1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元、比上年增长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%；农村居民人均可支配收入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9672.3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元、比上年增长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7.4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%。全州城乡居民人均收入比为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2.66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，比上年缩小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0.11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全年全州居民人均消费支出12464.7元、比上年增长6.0%。按常住地分，城镇居民人均消费支出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19448.1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元，比上年增长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%；农村居民人均消费支出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8406.9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元，增长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全州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城镇居民恩格尔系数为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28.2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%，农村居民恩格尔系数为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31.8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lang w:val="en-US" w:eastAsia="zh-CN" w:bidi="ar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8"/>
        <w:tblW w:w="8500" w:type="dxa"/>
        <w:tblInd w:w="93" w:type="dxa"/>
        <w:tblBorders>
          <w:top w:val="none" w:color="auto" w:sz="0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789"/>
        <w:gridCol w:w="1339"/>
        <w:gridCol w:w="1789"/>
        <w:gridCol w:w="1342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00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表5  2022年全州城乡居民家庭人均收支情况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绝对数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  <w:tc>
          <w:tcPr>
            <w:tcW w:w="17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绝对数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比上年增长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人均可支配收入</w:t>
            </w:r>
          </w:p>
        </w:tc>
        <w:tc>
          <w:tcPr>
            <w:tcW w:w="178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25773.1</w:t>
            </w:r>
          </w:p>
        </w:tc>
        <w:tc>
          <w:tcPr>
            <w:tcW w:w="133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3.5</w:t>
            </w:r>
          </w:p>
        </w:tc>
        <w:tc>
          <w:tcPr>
            <w:tcW w:w="1789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9672.3</w:t>
            </w:r>
          </w:p>
        </w:tc>
        <w:tc>
          <w:tcPr>
            <w:tcW w:w="1342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工资性收入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16280.3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4.4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3069.4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经营净收入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3460.4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2.2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3922.5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财产净收入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1253.9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1.8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145.0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转移净收入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4778.5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1.9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2535.4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人均生活消费支出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19448.1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6.6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8406.9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食品烟酒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5483.1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5.0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2669.6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衣着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1974.9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666.3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居住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3975.1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6.4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1952.0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生活用品及服务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1607.3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6.8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766.4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交通通信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1986.9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4.2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850.8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教育文化娱乐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2162.4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15.8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437.1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医疗保健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1794.8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6.9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962.3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其他用品和服务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463.7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78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102.5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2.9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年末全州参加城镇职工基本养老保险人数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11.7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万人，比上年末增加0.2万人。参加城乡居民基本养老保险人数142.47万人，比上年末减少0.68万人。参加基本医疗保险人数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240.3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万人。其中，参加城镇职工基本医疗保险人数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13.2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万人；参加城乡居民基本医疗保险人数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227.2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万人，减少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万人。参加失业保险的职工人数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0.01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万人。年末全州领取失业保险金人数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765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人次。参加工伤保险人数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12.0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万人，其中参加工伤保险的农民工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万人，增加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年末全州共有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3.87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万人享受城市最低生活保障，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25.21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万人享受农村最低生活保障，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8678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人享受农村特困人员救助供养。全年全州共实施临时救助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29.34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万人，救助资金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2.75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亿元。全年资助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90.2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万人参加基本医疗保险，全年国家抚恤、补助退役军人和其他优抚对象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6320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人。年末全州共有养老机构14所，集中供养床位数1734张；儿童福利机构5所，集中供养床位数826张。年末共有社区服务中心130个，其中乡镇123个，街道7个；社区服务站1192个，其中城市102个，农村1090个。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九、科学技术和教育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全州共签订技术合同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141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项，技术合同成交金额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2.19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亿元，比上年增长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12.3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%。全年共登记科技成果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项，其中农牧类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项，企业类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highlight w:val="none"/>
          <w:u w:val="none"/>
          <w:lang w:val="en-US" w:eastAsia="zh-CN" w:bidi="ar"/>
        </w:rPr>
        <w:t>项，综合类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11项。专利授权量367件，同比下降18.1%。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年末全州各级各类学校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2495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所，其中幼儿园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1276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所，小学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1093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所，九年一贯制学校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所，初级中学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69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所，完全中学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所，高级中学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15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开放大学1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所，中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职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学校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11所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，特殊教育学校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所，高职院校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zh-CN" w:eastAsia="zh-CN" w:bidi="ar"/>
        </w:rPr>
        <w:t>所。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其中高中招生16982人，在校生43713人，毕业生12145人；初中招生34912人，在校生96212人，毕业生29791万人；普通小学招生42663人，在校生257067人，毕业生35998人；中职教育招生3603人，在校生7146人，毕业生572人。学前教育在园幼儿11.53万人。全州中职专任教师624人，普通中学专任教师11455人，小学专任教师15152人。九年义务教育巩固率为98.0%，高中阶段毛入学率为86.1%。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十、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bidi="ar"/>
        </w:rPr>
        <w:t>文化旅游、卫生健康和体育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年末全州广播节目综合人口覆盖率为99.23%，电视节目综合人口覆盖率为99.25%。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全年全州接待游客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1118.8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万人次、同比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下降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29.8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%。实现旅游综合收入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43.7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亿元、同比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下降41.4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%。其中乡村旅游接待游客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540.1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万人次，实现乡村旅游综合收入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17.3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亿元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年末全州共有医疗单位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1876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个（包含民营医院及诊所），其中县级及以上医院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个，乡镇卫生院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社区服务中心10个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。年末专业卫生技术人员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13432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人，其中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业医师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4048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人，注册护士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5945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人。医疗卫生机构床位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14195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张，其中医院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11233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张，乡镇卫生院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含社区卫生服务中心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2962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张。全年总诊疗人次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585.2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万人次，出院人数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28.3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年末全州共有体育场地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6167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个，体育场地面积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348.4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万平方米，人均体育场地面积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1.71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资源、环境和应急管理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全年全州国有建设用地供应总量740.6公顷，比上年下降5.2%。其中，工矿仓储用地107.7万公顷，下降24.7%；房地产用地104.7公顷，下降54.0%；基础设施用地175.8公顷，下降22.7%。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全年总用水量3.34亿立方米，同比增长0.52%。其中，生活用水量0.67亿立方米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2.44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工业用水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亿立方米，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6.37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农业用水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2.50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亿立方米，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0.49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；人工生态环境补水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0.06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亿立方米，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63.02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生产总值用水量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81.64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8.04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%。万元工业增加值用水量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33.34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6.65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%。人均用水量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157.35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立方米，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增长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0.05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%。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全州共有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地质公园3个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国家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地质公园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个，省级地质公园</w:t>
      </w:r>
      <w:r>
        <w:rPr>
          <w:rFonts w:hint="eastAsia" w:ascii="仿宋_GB2312" w:hAnsi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个。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初步核算，全年能源消费总量242.7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吨标准煤，比上年增长0.6%。煤炭消费量增长7.96%，原油消费量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下降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23.06%，天然气消费量增长16.67%，电力消费量下降1.43%。煤炭消费量占能源消费总量的23.02%，比上年上升1.5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个百分点；天然气、水电、核电、风电、太阳能发电等清洁能源消费量占能源消费总量的63.18%，上升2.67个百分点。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全年全州平均气温为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8.2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℃，平均降水量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477.4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毫米，平均无霜期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204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全年全州农作物受灾面积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104311.1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公顷，全年因洪涝和地质灾害造成直接经济损失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23444.8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万元，因干旱灾害造成直接经济损失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35445.5万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元，因低温冷冻和雪灾造成直接经济损失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16987.4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全年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共发生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生产安全事故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起，死亡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受伤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直接经济损失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316.1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万元。其中，交通运输、仓储和邮政业安全事故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起，死亡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人，受伤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36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建筑业安全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事故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起，死亡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人，受伤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人；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 w:bidi="ar"/>
        </w:rPr>
        <w:t>工业安全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事故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bidi="ar"/>
        </w:rPr>
        <w:t>起。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Style w:val="10"/>
          <w:rFonts w:hint="eastAsia" w:ascii="楷体" w:hAnsi="楷体" w:eastAsia="楷体" w:cs="楷体"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color w:val="auto"/>
          <w:kern w:val="0"/>
          <w:sz w:val="28"/>
          <w:szCs w:val="28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1.本公报各项数据均为初步统计数。部分数据因四舍五入的原因，存在总计与分项合计不等的情况。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2.地区生产总值、三次产业及相关行业增加值和人均地区生产总值绝对数按现价计算，增长速度按不变价格计算。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3.规模以上工业企业财务指标增速及变化按可比口径计算。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4.电信业务总量按2020年不变价格计算。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5.民间固定资产投资是指具有集体、私营、个人性质的内资企事业单位以及由其控股（包括绝对控股和相对控股）的企业单位建造或购置固定资产的投资。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6.资料来源：本公报中城镇新增就业人员、社会保障数据来自临夏州人力资源和社会保障局；通信数据、发电装机容量数据来自临夏州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工业和信息化局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；财政数据来自临夏州财政局；进出口数据来自临夏州商务局；交通运输数据来自临夏州交通运输局；邮政数据来自临夏州邮政管理局；旅游数据来自临夏州文化广电和旅游局；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农机数据来自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val="en-US" w:eastAsia="zh-CN" w:bidi="ar"/>
        </w:rPr>
        <w:t>临夏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州农机服务中心；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金融数据来自中国人民银行临夏州中心支行；保险数据来自临夏州保险协会；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医疗保险、资助参加基本医疗保险、实施直接救助数据来自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临夏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州医疗保障局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；城乡低保、农村特困人员救助供养、社会服务数据来自临夏州民政局；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优抚对象数据来自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临夏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州退役军人事务局；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科技数据来自临夏州科技局；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市场主体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eastAsia="zh-CN" w:bidi="ar"/>
        </w:rPr>
        <w:t>、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专利数据来自临夏州市场监督管理局；卫生数据来自临夏州卫生健康委员会；体育数据来自临夏州体育局；用水量数据来自临夏州水务局；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教育数据来自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val="en-US" w:eastAsia="zh-CN" w:bidi="ar"/>
        </w:rPr>
        <w:t>临夏州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bidi="ar"/>
        </w:rPr>
        <w:t>教育局</w:t>
      </w:r>
      <w:r>
        <w:rPr>
          <w:rFonts w:hint="eastAsia" w:ascii="楷体" w:hAnsi="楷体" w:eastAsia="楷体" w:cs="楷体"/>
          <w:color w:val="auto"/>
          <w:kern w:val="0"/>
          <w:sz w:val="28"/>
          <w:szCs w:val="28"/>
          <w:lang w:eastAsia="zh-CN" w:bidi="ar"/>
        </w:rPr>
        <w:t>；</w:t>
      </w:r>
      <w:r>
        <w:rPr>
          <w:rStyle w:val="10"/>
          <w:rFonts w:hint="eastAsia" w:ascii="楷体" w:hAnsi="楷体" w:eastAsia="楷体" w:cs="楷体"/>
          <w:b w:val="0"/>
          <w:bCs/>
          <w:color w:val="auto"/>
          <w:kern w:val="0"/>
          <w:sz w:val="28"/>
          <w:szCs w:val="28"/>
          <w:lang w:val="en-US" w:eastAsia="zh-CN" w:bidi="ar"/>
        </w:rPr>
        <w:t>安全生产数据来自临夏州应急管理局；地质公园数据来自临夏州林业和草原局；气象数据来自临夏州气象局。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3EA72"/>
    <w:multiLevelType w:val="singleLevel"/>
    <w:tmpl w:val="CEA3EA7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ZTk4ZWFhZDNjMDZkYTY1ZTQ2NTJjN2U1MDg4ZmQifQ=="/>
  </w:docVars>
  <w:rsids>
    <w:rsidRoot w:val="06A55985"/>
    <w:rsid w:val="00472672"/>
    <w:rsid w:val="00A967A3"/>
    <w:rsid w:val="010F3E89"/>
    <w:rsid w:val="0134628D"/>
    <w:rsid w:val="01702DBA"/>
    <w:rsid w:val="0177318D"/>
    <w:rsid w:val="01881F9B"/>
    <w:rsid w:val="01ED0A32"/>
    <w:rsid w:val="022A23B4"/>
    <w:rsid w:val="023D5A83"/>
    <w:rsid w:val="02630EA1"/>
    <w:rsid w:val="02732DD0"/>
    <w:rsid w:val="02765EDC"/>
    <w:rsid w:val="02CA2DBF"/>
    <w:rsid w:val="02ED090B"/>
    <w:rsid w:val="032206F5"/>
    <w:rsid w:val="03315365"/>
    <w:rsid w:val="034429AE"/>
    <w:rsid w:val="035F4EA3"/>
    <w:rsid w:val="036A5F1A"/>
    <w:rsid w:val="039D3F75"/>
    <w:rsid w:val="042831D1"/>
    <w:rsid w:val="04410948"/>
    <w:rsid w:val="046B1536"/>
    <w:rsid w:val="04A51ED5"/>
    <w:rsid w:val="05100DD1"/>
    <w:rsid w:val="05305BF5"/>
    <w:rsid w:val="05383544"/>
    <w:rsid w:val="069B2B35"/>
    <w:rsid w:val="069B3A09"/>
    <w:rsid w:val="069F22D0"/>
    <w:rsid w:val="06A55985"/>
    <w:rsid w:val="0724392B"/>
    <w:rsid w:val="072F117C"/>
    <w:rsid w:val="07A76ECC"/>
    <w:rsid w:val="07BC1013"/>
    <w:rsid w:val="07CB29E5"/>
    <w:rsid w:val="07F058E1"/>
    <w:rsid w:val="07F2105E"/>
    <w:rsid w:val="08171CCD"/>
    <w:rsid w:val="084C45D4"/>
    <w:rsid w:val="08575C6D"/>
    <w:rsid w:val="087C35D6"/>
    <w:rsid w:val="08842216"/>
    <w:rsid w:val="089E16C4"/>
    <w:rsid w:val="08B42D1D"/>
    <w:rsid w:val="08BF5B3D"/>
    <w:rsid w:val="0901387D"/>
    <w:rsid w:val="094D04B8"/>
    <w:rsid w:val="095E502E"/>
    <w:rsid w:val="098A51B4"/>
    <w:rsid w:val="09AD387D"/>
    <w:rsid w:val="09B82172"/>
    <w:rsid w:val="09EA2A75"/>
    <w:rsid w:val="0A6C022A"/>
    <w:rsid w:val="0A901781"/>
    <w:rsid w:val="0AA043A4"/>
    <w:rsid w:val="0AAD0649"/>
    <w:rsid w:val="0B43669B"/>
    <w:rsid w:val="0B9F531E"/>
    <w:rsid w:val="0BB83E2A"/>
    <w:rsid w:val="0BCB0C4C"/>
    <w:rsid w:val="0C1018CC"/>
    <w:rsid w:val="0C4A361F"/>
    <w:rsid w:val="0C7161FB"/>
    <w:rsid w:val="0C8E6C5B"/>
    <w:rsid w:val="0CBA7753"/>
    <w:rsid w:val="0CD71D9F"/>
    <w:rsid w:val="0D0B69EC"/>
    <w:rsid w:val="0D112134"/>
    <w:rsid w:val="0D870452"/>
    <w:rsid w:val="0DE24CF8"/>
    <w:rsid w:val="0DFA1C3B"/>
    <w:rsid w:val="0E362170"/>
    <w:rsid w:val="0E83682A"/>
    <w:rsid w:val="0F000BC6"/>
    <w:rsid w:val="0F4F54C7"/>
    <w:rsid w:val="0FA65272"/>
    <w:rsid w:val="100C6E05"/>
    <w:rsid w:val="1045143A"/>
    <w:rsid w:val="10B16900"/>
    <w:rsid w:val="11024840"/>
    <w:rsid w:val="114272F2"/>
    <w:rsid w:val="117B09D9"/>
    <w:rsid w:val="12034A45"/>
    <w:rsid w:val="13063BC6"/>
    <w:rsid w:val="133B0C98"/>
    <w:rsid w:val="13486AF4"/>
    <w:rsid w:val="135A7662"/>
    <w:rsid w:val="13651E43"/>
    <w:rsid w:val="1394476D"/>
    <w:rsid w:val="13DC399D"/>
    <w:rsid w:val="140024F4"/>
    <w:rsid w:val="14382A8E"/>
    <w:rsid w:val="14761EB5"/>
    <w:rsid w:val="148541C4"/>
    <w:rsid w:val="14B30DC4"/>
    <w:rsid w:val="14DA31DA"/>
    <w:rsid w:val="15170610"/>
    <w:rsid w:val="15213DDE"/>
    <w:rsid w:val="15891B19"/>
    <w:rsid w:val="15C735B5"/>
    <w:rsid w:val="16086B33"/>
    <w:rsid w:val="160A1A74"/>
    <w:rsid w:val="161B7A29"/>
    <w:rsid w:val="1665418A"/>
    <w:rsid w:val="16F96BA8"/>
    <w:rsid w:val="171D1820"/>
    <w:rsid w:val="174E44DD"/>
    <w:rsid w:val="178915DD"/>
    <w:rsid w:val="179B1FB0"/>
    <w:rsid w:val="17C26415"/>
    <w:rsid w:val="17D6095A"/>
    <w:rsid w:val="17E53404"/>
    <w:rsid w:val="18235A5F"/>
    <w:rsid w:val="18495FF7"/>
    <w:rsid w:val="18B42618"/>
    <w:rsid w:val="18DD5756"/>
    <w:rsid w:val="18FF63FC"/>
    <w:rsid w:val="1961334D"/>
    <w:rsid w:val="19842EF9"/>
    <w:rsid w:val="199232F3"/>
    <w:rsid w:val="19A052BC"/>
    <w:rsid w:val="19C32A38"/>
    <w:rsid w:val="19E70F23"/>
    <w:rsid w:val="1A183492"/>
    <w:rsid w:val="1A2D0940"/>
    <w:rsid w:val="1A412245"/>
    <w:rsid w:val="1A6C141C"/>
    <w:rsid w:val="1A7F1B4F"/>
    <w:rsid w:val="1B2B7A45"/>
    <w:rsid w:val="1B6E3EA3"/>
    <w:rsid w:val="1B9173E7"/>
    <w:rsid w:val="1BB62305"/>
    <w:rsid w:val="1C0E5853"/>
    <w:rsid w:val="1C7F4D69"/>
    <w:rsid w:val="1CEC7DC1"/>
    <w:rsid w:val="1D333ABD"/>
    <w:rsid w:val="1D392EE0"/>
    <w:rsid w:val="1D3F30F7"/>
    <w:rsid w:val="1D4652D5"/>
    <w:rsid w:val="1D651B34"/>
    <w:rsid w:val="1DE77185"/>
    <w:rsid w:val="1EB31E56"/>
    <w:rsid w:val="1EB47B00"/>
    <w:rsid w:val="1F02126B"/>
    <w:rsid w:val="1F2230FD"/>
    <w:rsid w:val="1FA63846"/>
    <w:rsid w:val="1FEF0E24"/>
    <w:rsid w:val="20916CD0"/>
    <w:rsid w:val="20982312"/>
    <w:rsid w:val="20DE41CF"/>
    <w:rsid w:val="21276C96"/>
    <w:rsid w:val="215A1D21"/>
    <w:rsid w:val="21F66056"/>
    <w:rsid w:val="221740EC"/>
    <w:rsid w:val="222D405B"/>
    <w:rsid w:val="22345AFB"/>
    <w:rsid w:val="226A0218"/>
    <w:rsid w:val="22A475D3"/>
    <w:rsid w:val="22D04C65"/>
    <w:rsid w:val="22E7433C"/>
    <w:rsid w:val="23245E04"/>
    <w:rsid w:val="235468C9"/>
    <w:rsid w:val="23B332D3"/>
    <w:rsid w:val="23D317A9"/>
    <w:rsid w:val="24531700"/>
    <w:rsid w:val="24A66D8F"/>
    <w:rsid w:val="24BB1DC4"/>
    <w:rsid w:val="25015B24"/>
    <w:rsid w:val="25082B6B"/>
    <w:rsid w:val="253F6C72"/>
    <w:rsid w:val="25651316"/>
    <w:rsid w:val="25E51A36"/>
    <w:rsid w:val="25E71B01"/>
    <w:rsid w:val="25F86621"/>
    <w:rsid w:val="26003036"/>
    <w:rsid w:val="260959F1"/>
    <w:rsid w:val="262E4E1D"/>
    <w:rsid w:val="26E53D6E"/>
    <w:rsid w:val="27213A23"/>
    <w:rsid w:val="27E744C5"/>
    <w:rsid w:val="28145D87"/>
    <w:rsid w:val="28392308"/>
    <w:rsid w:val="284B7DC1"/>
    <w:rsid w:val="287537DE"/>
    <w:rsid w:val="28AC618B"/>
    <w:rsid w:val="28B0502B"/>
    <w:rsid w:val="29B73078"/>
    <w:rsid w:val="29EF3309"/>
    <w:rsid w:val="29FF56F6"/>
    <w:rsid w:val="2A4546D4"/>
    <w:rsid w:val="2A4D2AFF"/>
    <w:rsid w:val="2A5610DD"/>
    <w:rsid w:val="2A573B09"/>
    <w:rsid w:val="2A772A81"/>
    <w:rsid w:val="2A910187"/>
    <w:rsid w:val="2A952A67"/>
    <w:rsid w:val="2ADA028E"/>
    <w:rsid w:val="2B5C6BE4"/>
    <w:rsid w:val="2B885D5E"/>
    <w:rsid w:val="2B96154C"/>
    <w:rsid w:val="2B9C7D23"/>
    <w:rsid w:val="2C2E0B4A"/>
    <w:rsid w:val="2C714C42"/>
    <w:rsid w:val="2CBC7979"/>
    <w:rsid w:val="2CDA74CB"/>
    <w:rsid w:val="2D724E02"/>
    <w:rsid w:val="2D792994"/>
    <w:rsid w:val="2DF95C78"/>
    <w:rsid w:val="2E0F3FA1"/>
    <w:rsid w:val="2E56067D"/>
    <w:rsid w:val="2E87607F"/>
    <w:rsid w:val="2EA5007D"/>
    <w:rsid w:val="2EE43475"/>
    <w:rsid w:val="2F0416B1"/>
    <w:rsid w:val="2F160C8A"/>
    <w:rsid w:val="2F1F3959"/>
    <w:rsid w:val="2F2A0A24"/>
    <w:rsid w:val="2F976AEC"/>
    <w:rsid w:val="304F534A"/>
    <w:rsid w:val="307A7C6A"/>
    <w:rsid w:val="308D2C3E"/>
    <w:rsid w:val="30C73DCE"/>
    <w:rsid w:val="31554C2B"/>
    <w:rsid w:val="321A6949"/>
    <w:rsid w:val="321D6DB5"/>
    <w:rsid w:val="324050B5"/>
    <w:rsid w:val="329C79FE"/>
    <w:rsid w:val="32A37725"/>
    <w:rsid w:val="32D07442"/>
    <w:rsid w:val="33105381"/>
    <w:rsid w:val="333D12F7"/>
    <w:rsid w:val="334C5F79"/>
    <w:rsid w:val="335A61AF"/>
    <w:rsid w:val="33690962"/>
    <w:rsid w:val="336A6B3F"/>
    <w:rsid w:val="3375249E"/>
    <w:rsid w:val="338A6A16"/>
    <w:rsid w:val="33966B48"/>
    <w:rsid w:val="33EA459E"/>
    <w:rsid w:val="341C2FBE"/>
    <w:rsid w:val="343B50A8"/>
    <w:rsid w:val="34810D82"/>
    <w:rsid w:val="349E67F7"/>
    <w:rsid w:val="34D13EBE"/>
    <w:rsid w:val="34D149CF"/>
    <w:rsid w:val="34D72118"/>
    <w:rsid w:val="35540F0F"/>
    <w:rsid w:val="355B55BC"/>
    <w:rsid w:val="35773052"/>
    <w:rsid w:val="358950C5"/>
    <w:rsid w:val="3611718E"/>
    <w:rsid w:val="362020A6"/>
    <w:rsid w:val="364C3305"/>
    <w:rsid w:val="366C54B4"/>
    <w:rsid w:val="3694521F"/>
    <w:rsid w:val="36B45C3F"/>
    <w:rsid w:val="36B70443"/>
    <w:rsid w:val="36D01E9F"/>
    <w:rsid w:val="36DF02DA"/>
    <w:rsid w:val="37290A4D"/>
    <w:rsid w:val="37856858"/>
    <w:rsid w:val="378864B8"/>
    <w:rsid w:val="37C10A81"/>
    <w:rsid w:val="37C65A38"/>
    <w:rsid w:val="380960EE"/>
    <w:rsid w:val="38744E51"/>
    <w:rsid w:val="391F0333"/>
    <w:rsid w:val="3933019E"/>
    <w:rsid w:val="39CA6C12"/>
    <w:rsid w:val="39CB69CA"/>
    <w:rsid w:val="39E31B44"/>
    <w:rsid w:val="3A042A9E"/>
    <w:rsid w:val="3A133241"/>
    <w:rsid w:val="3A51516D"/>
    <w:rsid w:val="3A7B1558"/>
    <w:rsid w:val="3AAC2215"/>
    <w:rsid w:val="3AC12EEB"/>
    <w:rsid w:val="3AFB74BA"/>
    <w:rsid w:val="3B4A236B"/>
    <w:rsid w:val="3BC0732E"/>
    <w:rsid w:val="3C7D2493"/>
    <w:rsid w:val="3C810D10"/>
    <w:rsid w:val="3C913191"/>
    <w:rsid w:val="3CE633DC"/>
    <w:rsid w:val="3CF149EA"/>
    <w:rsid w:val="3DC767F4"/>
    <w:rsid w:val="3E037B09"/>
    <w:rsid w:val="3E1F4FEB"/>
    <w:rsid w:val="3E885F59"/>
    <w:rsid w:val="3EFD1916"/>
    <w:rsid w:val="3F5E2E30"/>
    <w:rsid w:val="3F995FE8"/>
    <w:rsid w:val="3FA91AC2"/>
    <w:rsid w:val="4026608F"/>
    <w:rsid w:val="40673344"/>
    <w:rsid w:val="40A60FD6"/>
    <w:rsid w:val="40A96BBD"/>
    <w:rsid w:val="41032E6D"/>
    <w:rsid w:val="41664F91"/>
    <w:rsid w:val="417E5AFF"/>
    <w:rsid w:val="41905F02"/>
    <w:rsid w:val="419370B9"/>
    <w:rsid w:val="41A144B5"/>
    <w:rsid w:val="421F202D"/>
    <w:rsid w:val="424135A7"/>
    <w:rsid w:val="426B6120"/>
    <w:rsid w:val="429416E7"/>
    <w:rsid w:val="42B0721C"/>
    <w:rsid w:val="431E2C46"/>
    <w:rsid w:val="43891134"/>
    <w:rsid w:val="439B0791"/>
    <w:rsid w:val="43EA6B80"/>
    <w:rsid w:val="44196FA7"/>
    <w:rsid w:val="44300317"/>
    <w:rsid w:val="445F6512"/>
    <w:rsid w:val="44E917B6"/>
    <w:rsid w:val="452074FD"/>
    <w:rsid w:val="452D438A"/>
    <w:rsid w:val="455C47D6"/>
    <w:rsid w:val="45856706"/>
    <w:rsid w:val="45D466E2"/>
    <w:rsid w:val="468F2277"/>
    <w:rsid w:val="469F56A0"/>
    <w:rsid w:val="46C151B9"/>
    <w:rsid w:val="46C251AF"/>
    <w:rsid w:val="46CD611D"/>
    <w:rsid w:val="46D97598"/>
    <w:rsid w:val="473340ED"/>
    <w:rsid w:val="47372A85"/>
    <w:rsid w:val="47805742"/>
    <w:rsid w:val="4789046D"/>
    <w:rsid w:val="4794236C"/>
    <w:rsid w:val="48292CD2"/>
    <w:rsid w:val="4852755C"/>
    <w:rsid w:val="486765FD"/>
    <w:rsid w:val="48711E43"/>
    <w:rsid w:val="48D859CC"/>
    <w:rsid w:val="493B371C"/>
    <w:rsid w:val="497242F5"/>
    <w:rsid w:val="497862E6"/>
    <w:rsid w:val="498A65F8"/>
    <w:rsid w:val="49903DA7"/>
    <w:rsid w:val="49A023DF"/>
    <w:rsid w:val="49E73E7F"/>
    <w:rsid w:val="4A15116C"/>
    <w:rsid w:val="4A4009FD"/>
    <w:rsid w:val="4A6B3848"/>
    <w:rsid w:val="4A9E6106"/>
    <w:rsid w:val="4B226E53"/>
    <w:rsid w:val="4B540C6E"/>
    <w:rsid w:val="4BE546BF"/>
    <w:rsid w:val="4BED3E21"/>
    <w:rsid w:val="4BF247B7"/>
    <w:rsid w:val="4C18299B"/>
    <w:rsid w:val="4CF5012D"/>
    <w:rsid w:val="4D093ED2"/>
    <w:rsid w:val="4D1068E5"/>
    <w:rsid w:val="4D63312E"/>
    <w:rsid w:val="4DB41C28"/>
    <w:rsid w:val="4DD57FB9"/>
    <w:rsid w:val="4DD74FC1"/>
    <w:rsid w:val="4DE1725B"/>
    <w:rsid w:val="4E18735C"/>
    <w:rsid w:val="4E6E651F"/>
    <w:rsid w:val="4E813E16"/>
    <w:rsid w:val="4EC733E7"/>
    <w:rsid w:val="4EEA067C"/>
    <w:rsid w:val="4F3B2F0E"/>
    <w:rsid w:val="4F8B14F9"/>
    <w:rsid w:val="50B3238A"/>
    <w:rsid w:val="511C3ACB"/>
    <w:rsid w:val="51222616"/>
    <w:rsid w:val="51B80305"/>
    <w:rsid w:val="51C9759A"/>
    <w:rsid w:val="5229734B"/>
    <w:rsid w:val="52501040"/>
    <w:rsid w:val="525A6366"/>
    <w:rsid w:val="528B0C87"/>
    <w:rsid w:val="52C50B0C"/>
    <w:rsid w:val="52D3338C"/>
    <w:rsid w:val="53084C36"/>
    <w:rsid w:val="53556A40"/>
    <w:rsid w:val="535C1A84"/>
    <w:rsid w:val="537261B8"/>
    <w:rsid w:val="53B5257C"/>
    <w:rsid w:val="53BA695D"/>
    <w:rsid w:val="53EA4133"/>
    <w:rsid w:val="54556791"/>
    <w:rsid w:val="54812268"/>
    <w:rsid w:val="54991B7E"/>
    <w:rsid w:val="551D079B"/>
    <w:rsid w:val="552F30C3"/>
    <w:rsid w:val="553D6F2E"/>
    <w:rsid w:val="555010FF"/>
    <w:rsid w:val="5571203D"/>
    <w:rsid w:val="55C81A01"/>
    <w:rsid w:val="55FF07A0"/>
    <w:rsid w:val="56DC3E2B"/>
    <w:rsid w:val="56ED3145"/>
    <w:rsid w:val="56FD529B"/>
    <w:rsid w:val="56FF1866"/>
    <w:rsid w:val="5752649C"/>
    <w:rsid w:val="576E5768"/>
    <w:rsid w:val="57C96D1B"/>
    <w:rsid w:val="58297B0A"/>
    <w:rsid w:val="58850AE6"/>
    <w:rsid w:val="58B33901"/>
    <w:rsid w:val="58BF0FF2"/>
    <w:rsid w:val="58CD17CD"/>
    <w:rsid w:val="58E20460"/>
    <w:rsid w:val="59243368"/>
    <w:rsid w:val="596B3817"/>
    <w:rsid w:val="59FA48CF"/>
    <w:rsid w:val="5A4E2302"/>
    <w:rsid w:val="5A580D2E"/>
    <w:rsid w:val="5A7A6258"/>
    <w:rsid w:val="5AC0093F"/>
    <w:rsid w:val="5ADB7994"/>
    <w:rsid w:val="5AF77A5F"/>
    <w:rsid w:val="5AFA15A6"/>
    <w:rsid w:val="5B2A0DFA"/>
    <w:rsid w:val="5B397FA6"/>
    <w:rsid w:val="5C01481B"/>
    <w:rsid w:val="5C067B98"/>
    <w:rsid w:val="5C285F49"/>
    <w:rsid w:val="5C2E3F6B"/>
    <w:rsid w:val="5C3346BC"/>
    <w:rsid w:val="5C521678"/>
    <w:rsid w:val="5CD9347C"/>
    <w:rsid w:val="5D044FCE"/>
    <w:rsid w:val="5D37392F"/>
    <w:rsid w:val="5D602822"/>
    <w:rsid w:val="5D6E285B"/>
    <w:rsid w:val="5E351977"/>
    <w:rsid w:val="5E436189"/>
    <w:rsid w:val="5E4915C3"/>
    <w:rsid w:val="5E985712"/>
    <w:rsid w:val="5EB82C38"/>
    <w:rsid w:val="5F1C60F2"/>
    <w:rsid w:val="5F344175"/>
    <w:rsid w:val="5F50018C"/>
    <w:rsid w:val="5F531819"/>
    <w:rsid w:val="5F8C08EA"/>
    <w:rsid w:val="5FA600F9"/>
    <w:rsid w:val="600A64E6"/>
    <w:rsid w:val="601F6347"/>
    <w:rsid w:val="605955EF"/>
    <w:rsid w:val="606E2D86"/>
    <w:rsid w:val="60890F25"/>
    <w:rsid w:val="60937E80"/>
    <w:rsid w:val="60CE06FD"/>
    <w:rsid w:val="60CE6998"/>
    <w:rsid w:val="610648B7"/>
    <w:rsid w:val="61321139"/>
    <w:rsid w:val="613B705C"/>
    <w:rsid w:val="614E44B0"/>
    <w:rsid w:val="619F17EC"/>
    <w:rsid w:val="61B7569E"/>
    <w:rsid w:val="61BE067D"/>
    <w:rsid w:val="61E324DD"/>
    <w:rsid w:val="61EE3192"/>
    <w:rsid w:val="62056E5A"/>
    <w:rsid w:val="621F0C1B"/>
    <w:rsid w:val="624469B5"/>
    <w:rsid w:val="62557B52"/>
    <w:rsid w:val="62B93EC4"/>
    <w:rsid w:val="62E1078D"/>
    <w:rsid w:val="62EF4575"/>
    <w:rsid w:val="63532035"/>
    <w:rsid w:val="641C574E"/>
    <w:rsid w:val="64970AA2"/>
    <w:rsid w:val="64B42B1A"/>
    <w:rsid w:val="64B86731"/>
    <w:rsid w:val="64C403C9"/>
    <w:rsid w:val="64E6062A"/>
    <w:rsid w:val="65194EFE"/>
    <w:rsid w:val="65C33996"/>
    <w:rsid w:val="664C4463"/>
    <w:rsid w:val="671E14D6"/>
    <w:rsid w:val="6845329E"/>
    <w:rsid w:val="68674FC7"/>
    <w:rsid w:val="68E17862"/>
    <w:rsid w:val="690D022D"/>
    <w:rsid w:val="69751070"/>
    <w:rsid w:val="69C72A98"/>
    <w:rsid w:val="69DB26F4"/>
    <w:rsid w:val="6A3B3D8A"/>
    <w:rsid w:val="6A71242E"/>
    <w:rsid w:val="6AB3521F"/>
    <w:rsid w:val="6AFB0AEC"/>
    <w:rsid w:val="6B063B5A"/>
    <w:rsid w:val="6B752AFF"/>
    <w:rsid w:val="6BCB2E5B"/>
    <w:rsid w:val="6BF656C9"/>
    <w:rsid w:val="6BFC0362"/>
    <w:rsid w:val="6C750921"/>
    <w:rsid w:val="6C8F2C07"/>
    <w:rsid w:val="6CC04E53"/>
    <w:rsid w:val="6D395E8D"/>
    <w:rsid w:val="6D7B3272"/>
    <w:rsid w:val="6DB35E3B"/>
    <w:rsid w:val="6DCD447A"/>
    <w:rsid w:val="6DD447DE"/>
    <w:rsid w:val="6DF76FD7"/>
    <w:rsid w:val="6E632409"/>
    <w:rsid w:val="6EEA4287"/>
    <w:rsid w:val="6F1B71A2"/>
    <w:rsid w:val="6F805872"/>
    <w:rsid w:val="6FE52158"/>
    <w:rsid w:val="6FF37D72"/>
    <w:rsid w:val="6FF7431A"/>
    <w:rsid w:val="70004B0F"/>
    <w:rsid w:val="702B3251"/>
    <w:rsid w:val="706C26EA"/>
    <w:rsid w:val="70CC43F5"/>
    <w:rsid w:val="710419A9"/>
    <w:rsid w:val="711D1B91"/>
    <w:rsid w:val="7125126B"/>
    <w:rsid w:val="71BD6A77"/>
    <w:rsid w:val="72137B47"/>
    <w:rsid w:val="72F4011E"/>
    <w:rsid w:val="7329771D"/>
    <w:rsid w:val="739B15A7"/>
    <w:rsid w:val="73A01620"/>
    <w:rsid w:val="73D41E8C"/>
    <w:rsid w:val="73F8314F"/>
    <w:rsid w:val="74AA13DC"/>
    <w:rsid w:val="74B00215"/>
    <w:rsid w:val="74B0623A"/>
    <w:rsid w:val="74E04BA1"/>
    <w:rsid w:val="74E56624"/>
    <w:rsid w:val="758303A9"/>
    <w:rsid w:val="759723D3"/>
    <w:rsid w:val="75CA1A99"/>
    <w:rsid w:val="75CC4F92"/>
    <w:rsid w:val="75D07B0C"/>
    <w:rsid w:val="75D5060B"/>
    <w:rsid w:val="75E34E1D"/>
    <w:rsid w:val="760837FD"/>
    <w:rsid w:val="761C5131"/>
    <w:rsid w:val="762A4233"/>
    <w:rsid w:val="766335DB"/>
    <w:rsid w:val="767F0AB9"/>
    <w:rsid w:val="769C07BB"/>
    <w:rsid w:val="77040756"/>
    <w:rsid w:val="77500F02"/>
    <w:rsid w:val="7781538D"/>
    <w:rsid w:val="77D4269B"/>
    <w:rsid w:val="77EB3FC2"/>
    <w:rsid w:val="7808763B"/>
    <w:rsid w:val="78123A7E"/>
    <w:rsid w:val="7823397D"/>
    <w:rsid w:val="78541879"/>
    <w:rsid w:val="785E0218"/>
    <w:rsid w:val="78B452C9"/>
    <w:rsid w:val="78B766AE"/>
    <w:rsid w:val="78C030AF"/>
    <w:rsid w:val="78F66784"/>
    <w:rsid w:val="79056630"/>
    <w:rsid w:val="795F03CA"/>
    <w:rsid w:val="79654DC4"/>
    <w:rsid w:val="798279B6"/>
    <w:rsid w:val="79AD1AA2"/>
    <w:rsid w:val="79B23990"/>
    <w:rsid w:val="79B452A3"/>
    <w:rsid w:val="79E151E8"/>
    <w:rsid w:val="7A1A2041"/>
    <w:rsid w:val="7A451CFC"/>
    <w:rsid w:val="7A7F34EB"/>
    <w:rsid w:val="7AFB5992"/>
    <w:rsid w:val="7B1D0C43"/>
    <w:rsid w:val="7B554EED"/>
    <w:rsid w:val="7B7724D2"/>
    <w:rsid w:val="7B966C55"/>
    <w:rsid w:val="7BA65FF3"/>
    <w:rsid w:val="7BE95B6E"/>
    <w:rsid w:val="7C28202B"/>
    <w:rsid w:val="7C375C29"/>
    <w:rsid w:val="7C483350"/>
    <w:rsid w:val="7C835CE1"/>
    <w:rsid w:val="7CB93C9C"/>
    <w:rsid w:val="7D00752C"/>
    <w:rsid w:val="7D7341E9"/>
    <w:rsid w:val="7D876CBB"/>
    <w:rsid w:val="7D996583"/>
    <w:rsid w:val="7DC06EBD"/>
    <w:rsid w:val="7DDB5AD1"/>
    <w:rsid w:val="7DE2285A"/>
    <w:rsid w:val="7DF2517C"/>
    <w:rsid w:val="7E477652"/>
    <w:rsid w:val="7E514FDF"/>
    <w:rsid w:val="7F0059D4"/>
    <w:rsid w:val="7FEC41B1"/>
    <w:rsid w:val="7F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 2"/>
    <w:basedOn w:val="1"/>
    <w:next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mbp\Desktop\&#32479;&#35745;&#20844;&#25253;\2021&#24180;&#32479;&#35745;&#20844;&#25253;\&#36164;&#26009;\&#20844;&#25253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bp\Desktop\&#32479;&#35745;&#20844;&#25253;\2021&#24180;&#32479;&#35745;&#20844;&#25253;\&#36164;&#26009;\&#20844;&#25253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bp\Desktop\&#32479;&#35745;&#20844;&#25253;\2022&#24180;&#32479;&#35745;&#20844;&#25253;\&#20844;&#25253;&#22270;&#34920;202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mbp\Desktop\&#32479;&#35745;&#20844;&#25253;\2021&#24180;&#32479;&#35745;&#20844;&#25253;\&#36164;&#26009;\&#20844;&#25253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altLang="en-US" sz="1260">
                <a:solidFill>
                  <a:schemeClr val="tx1">
                    <a:lumMod val="65000"/>
                    <a:lumOff val="35000"/>
                  </a:schemeClr>
                </a:solidFill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图</a:t>
            </a:r>
            <a:r>
              <a:rPr lang="en-US" altLang="zh-CN" sz="1260">
                <a:solidFill>
                  <a:schemeClr val="tx1">
                    <a:lumMod val="65000"/>
                    <a:lumOff val="35000"/>
                  </a:schemeClr>
                </a:solidFill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3  2018-2022</a:t>
            </a:r>
            <a:r>
              <a:rPr altLang="en-US" sz="1260">
                <a:solidFill>
                  <a:schemeClr val="tx1">
                    <a:lumMod val="65000"/>
                    <a:lumOff val="35000"/>
                  </a:schemeClr>
                </a:solidFill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年全州</a:t>
            </a:r>
            <a:r>
              <a:rPr sz="1260">
                <a:solidFill>
                  <a:schemeClr val="tx1">
                    <a:lumMod val="65000"/>
                    <a:lumOff val="35000"/>
                  </a:schemeClr>
                </a:solidFill>
                <a:uFillTx/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rPr>
              <a:t>粮食产量</a:t>
            </a:r>
            <a:endParaRPr sz="1260">
              <a:solidFill>
                <a:schemeClr val="tx1">
                  <a:lumMod val="65000"/>
                  <a:lumOff val="35000"/>
                </a:schemeClr>
              </a:solidFill>
              <a:uFillTx/>
              <a:latin typeface="宋体" panose="02010600030101010101" charset="-122"/>
              <a:ea typeface="宋体" panose="02010600030101010101" charset="-122"/>
              <a:cs typeface="宋体" panose="02010600030101010101" charset="-122"/>
              <a:sym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82932274869759"/>
          <c:y val="0.156294536817102"/>
          <c:w val="0.894790374596874"/>
          <c:h val="0.73083135391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[公报图表.xlsx]图1!$B$28</c:f>
              <c:strCache>
                <c:ptCount val="1"/>
                <c:pt idx="0">
                  <c:v>粮食产量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cap="none" spc="0" normalizeH="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uFill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u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[公报图表.xlsx]图1!$C$27:$G$27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[公报图表.xlsx]图1!$C$28:$G$28</c:f>
              <c:numCache>
                <c:formatCode>0.0_ </c:formatCode>
                <c:ptCount val="5"/>
                <c:pt idx="0">
                  <c:v>65.73</c:v>
                </c:pt>
                <c:pt idx="1">
                  <c:v>68.27</c:v>
                </c:pt>
                <c:pt idx="2">
                  <c:v>70</c:v>
                </c:pt>
                <c:pt idx="3">
                  <c:v>70.8</c:v>
                </c:pt>
                <c:pt idx="4">
                  <c:v>72.31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7240978"/>
        <c:axId val="134097507"/>
      </c:barChart>
      <c:catAx>
        <c:axId val="13724097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defRPr>
                </a:pPr>
                <a:r>
                  <a:rPr sz="1050">
                    <a:solidFill>
                      <a:schemeClr val="tx1">
                        <a:lumMod val="65000"/>
                        <a:lumOff val="35000"/>
                      </a:schemeClr>
                    </a:solidFill>
                    <a:uFillTx/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  <a:sym typeface="宋体" panose="02010600030101010101" charset="-122"/>
                  </a:rPr>
                  <a:t>万吨</a:t>
                </a:r>
                <a:endParaRPr sz="1050">
                  <a:solidFill>
                    <a:schemeClr val="tx1">
                      <a:lumMod val="65000"/>
                      <a:lumOff val="35000"/>
                    </a:schemeClr>
                  </a:solidFill>
                  <a:uFillTx/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  <a:sym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156111111111111"/>
              <c:y val="0.0531162464985994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34097507"/>
        <c:crosses val="autoZero"/>
        <c:auto val="1"/>
        <c:lblAlgn val="ctr"/>
        <c:lblOffset val="100"/>
        <c:noMultiLvlLbl val="0"/>
      </c:catAx>
      <c:valAx>
        <c:axId val="134097507"/>
        <c:scaling>
          <c:orientation val="minMax"/>
          <c:max val="100"/>
          <c:min val="0"/>
        </c:scaling>
        <c:delete val="0"/>
        <c:axPos val="l"/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</a:p>
        </c:txPr>
        <c:crossAx val="137240978"/>
        <c:crosses val="autoZero"/>
        <c:crossBetween val="between"/>
        <c:majorUnit val="20"/>
      </c:valAx>
      <c:spPr>
        <a:noFill/>
        <a:ln w="12700" cmpd="sng">
          <a:solidFill>
            <a:schemeClr val="tx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50">
          <a:latin typeface="宋体" panose="02010600030101010101" charset="-122"/>
          <a:ea typeface="宋体" panose="02010600030101010101" charset="-122"/>
          <a:cs typeface="宋体" panose="02010600030101010101" charset="-122"/>
          <a:sym typeface="宋体" panose="02010600030101010101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r>
              <a:rPr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图</a:t>
            </a:r>
            <a:r>
              <a:rPr lang="en-US" altLang="zh-CN"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4  2018-2022</a:t>
            </a:r>
            <a:r>
              <a:rPr altLang="en-US"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年全州全部工业增加值及其增长速度</a:t>
            </a:r>
            <a:endParaRPr altLang="en-US" sz="1200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>
        <c:manualLayout>
          <c:xMode val="edge"/>
          <c:yMode val="edge"/>
          <c:x val="0.146585914889055"/>
          <c:y val="0.031168831168831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15687257235935"/>
          <c:y val="0.140106951871658"/>
          <c:w val="0.865680992356847"/>
          <c:h val="0.745668449197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[公报图表.xlsx]图1!$B$23</c:f>
              <c:strCache>
                <c:ptCount val="1"/>
                <c:pt idx="0">
                  <c:v>工业增加值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[公报图表.xlsx]图1!$C$22:$G$22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[公报图表.xlsx]图1!$C$23:$G$23</c:f>
              <c:numCache>
                <c:formatCode>0.0_ </c:formatCode>
                <c:ptCount val="5"/>
                <c:pt idx="0">
                  <c:v>28.3501</c:v>
                </c:pt>
                <c:pt idx="1">
                  <c:v>28.7645755359047</c:v>
                </c:pt>
                <c:pt idx="2">
                  <c:v>28.7384644875486</c:v>
                </c:pt>
                <c:pt idx="3">
                  <c:v>32.7191480012802</c:v>
                </c:pt>
                <c:pt idx="4">
                  <c:v>33.5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95174773"/>
        <c:axId val="423183962"/>
      </c:barChart>
      <c:lineChart>
        <c:grouping val="standard"/>
        <c:varyColors val="0"/>
        <c:ser>
          <c:idx val="1"/>
          <c:order val="1"/>
          <c:tx>
            <c:strRef>
              <c:f>[公报图表.xlsx]图1!$B$24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  <a:headEnd type="oval" w="med" len="med"/>
              <a:tailEnd type="oval" w="med" len="med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0827374872318693"/>
                  <c:y val="0.0082833979555868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281920326864147"/>
                  <c:y val="0.050757842791681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06435137895812"/>
                  <c:y val="0.092099300065461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[公报图表.xlsx]图1!$C$22:$G$22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[公报图表.xlsx]图1!$C$24:$G$24</c:f>
              <c:numCache>
                <c:formatCode>0.0_ </c:formatCode>
                <c:ptCount val="5"/>
                <c:pt idx="0">
                  <c:v>2.9</c:v>
                </c:pt>
                <c:pt idx="1">
                  <c:v>4.7</c:v>
                </c:pt>
                <c:pt idx="2">
                  <c:v>-1.2</c:v>
                </c:pt>
                <c:pt idx="3">
                  <c:v>3</c:v>
                </c:pt>
                <c:pt idx="4">
                  <c:v>-4.4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199614941"/>
        <c:axId val="886426510"/>
      </c:lineChart>
      <c:catAx>
        <c:axId val="895174773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r>
                  <a:rPr sz="1000"/>
                  <a:t>亿元</a:t>
                </a:r>
                <a:endParaRPr sz="1000"/>
              </a:p>
            </c:rich>
          </c:tx>
          <c:layout>
            <c:manualLayout>
              <c:xMode val="edge"/>
              <c:yMode val="edge"/>
              <c:x val="0.0146802187191579"/>
              <c:y val="0.036862745098039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423183962"/>
        <c:crosses val="autoZero"/>
        <c:auto val="1"/>
        <c:lblAlgn val="ctr"/>
        <c:lblOffset val="100"/>
        <c:noMultiLvlLbl val="0"/>
      </c:catAx>
      <c:valAx>
        <c:axId val="423183962"/>
        <c:scaling>
          <c:orientation val="minMax"/>
          <c:max val="40"/>
        </c:scaling>
        <c:delete val="0"/>
        <c:axPos val="l"/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895174773"/>
        <c:crosses val="autoZero"/>
        <c:crossBetween val="between"/>
      </c:valAx>
      <c:catAx>
        <c:axId val="19961494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886426510"/>
        <c:crosses val="autoZero"/>
        <c:auto val="1"/>
        <c:lblAlgn val="ctr"/>
        <c:lblOffset val="100"/>
        <c:noMultiLvlLbl val="0"/>
      </c:catAx>
      <c:valAx>
        <c:axId val="886426510"/>
        <c:scaling>
          <c:orientation val="minMax"/>
          <c:max val="10"/>
          <c:min val="-5"/>
        </c:scaling>
        <c:delete val="0"/>
        <c:axPos val="r"/>
        <c:numFmt formatCode="0_ 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199614941"/>
        <c:crosses val="max"/>
        <c:crossBetween val="between"/>
      </c:valAx>
      <c:spPr>
        <a:noFill/>
        <a:ln w="12700" cmpd="sng">
          <a:solidFill>
            <a:schemeClr val="tx1"/>
          </a:solidFill>
          <a:prstDash val="solid"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119158000250595"/>
          <c:y val="0.143743315508021"/>
          <c:w val="0.404084701165268"/>
          <c:h val="0.079358288770053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r>
              <a:rPr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图</a:t>
            </a:r>
            <a:r>
              <a:rPr lang="en-US" altLang="zh-CN"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5  2018-2022</a:t>
            </a:r>
            <a:r>
              <a:rPr altLang="en-US" sz="120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年全州社会消费品零售总额及其增长速度</a:t>
            </a:r>
            <a:endParaRPr sz="1200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667444120505345"/>
          <c:y val="0.141847912367042"/>
          <c:w val="0.871273080660836"/>
          <c:h val="0.70990633433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[公报图表2022.xlsx]图2!$A$4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[公报图表2022.xlsx]图2!$B$3:$F$3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[公报图表2022.xlsx]图2!$B$4:$F$4</c:f>
              <c:numCache>
                <c:formatCode>0.0_ </c:formatCode>
                <c:ptCount val="5"/>
                <c:pt idx="0">
                  <c:v>98.1605900337512</c:v>
                </c:pt>
                <c:pt idx="1">
                  <c:v>106.01421</c:v>
                </c:pt>
                <c:pt idx="2">
                  <c:v>106.73511</c:v>
                </c:pt>
                <c:pt idx="3">
                  <c:v>117.45756</c:v>
                </c:pt>
                <c:pt idx="4">
                  <c:v>108.6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1481688"/>
        <c:axId val="897955415"/>
      </c:barChart>
      <c:lineChart>
        <c:grouping val="standard"/>
        <c:varyColors val="0"/>
        <c:ser>
          <c:idx val="1"/>
          <c:order val="1"/>
          <c:tx>
            <c:strRef>
              <c:f>[公报图表2022.xlsx]图2!$A$5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28575" cap="rnd">
              <a:solidFill>
                <a:srgbClr val="94D153"/>
              </a:solidFill>
              <a:round/>
              <a:headEnd type="oval"/>
              <a:tailEnd type="oval" w="med" len="med"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0291545189504373"/>
                  <c:y val="0.097760695187165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017546791443850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16618075801749"/>
                  <c:y val="0.0056295248717411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[公报图表2022.xlsx]图2!$B$3:$F$3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[公报图表2022.xlsx]图2!$B$5:$F$5</c:f>
              <c:numCache>
                <c:formatCode>0.0_ </c:formatCode>
                <c:ptCount val="5"/>
                <c:pt idx="0">
                  <c:v>8.0277506991054</c:v>
                </c:pt>
                <c:pt idx="1">
                  <c:v>8</c:v>
                </c:pt>
                <c:pt idx="2">
                  <c:v>0.7</c:v>
                </c:pt>
                <c:pt idx="3">
                  <c:v>10</c:v>
                </c:pt>
                <c:pt idx="4">
                  <c:v>-7.5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472955552"/>
        <c:axId val="642520695"/>
      </c:lineChart>
      <c:catAx>
        <c:axId val="84148168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r>
                  <a:rPr sz="1000"/>
                  <a:t>亿元</a:t>
                </a:r>
                <a:endParaRPr sz="1000"/>
              </a:p>
            </c:rich>
          </c:tx>
          <c:layout>
            <c:manualLayout>
              <c:xMode val="edge"/>
              <c:yMode val="edge"/>
              <c:x val="0.0131195335276968"/>
              <c:y val="0.061831550802139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897955415"/>
        <c:crosses val="autoZero"/>
        <c:auto val="1"/>
        <c:lblAlgn val="ctr"/>
        <c:lblOffset val="100"/>
        <c:noMultiLvlLbl val="0"/>
      </c:catAx>
      <c:valAx>
        <c:axId val="897955415"/>
        <c:scaling>
          <c:orientation val="minMax"/>
          <c:max val="150"/>
          <c:min val="0"/>
        </c:scaling>
        <c:delete val="0"/>
        <c:axPos val="l"/>
        <c:numFmt formatCode="0_);[Red]\(0\)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841481688"/>
        <c:crosses val="autoZero"/>
        <c:crossBetween val="between"/>
      </c:valAx>
      <c:catAx>
        <c:axId val="47295555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642520695"/>
        <c:crosses val="autoZero"/>
        <c:auto val="1"/>
        <c:lblAlgn val="ctr"/>
        <c:lblOffset val="100"/>
        <c:noMultiLvlLbl val="0"/>
      </c:catAx>
      <c:valAx>
        <c:axId val="642520695"/>
        <c:scaling>
          <c:orientation val="minMax"/>
          <c:max val="20"/>
        </c:scaling>
        <c:delete val="0"/>
        <c:axPos val="r"/>
        <c:numFmt formatCode="0_ " sourceLinked="0"/>
        <c:majorTickMark val="in"/>
        <c:minorTickMark val="in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472955552"/>
        <c:crosses val="max"/>
        <c:crossBetween val="between"/>
      </c:valAx>
      <c:spPr>
        <a:noFill/>
        <a:ln w="12700"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0929087706511176"/>
          <c:y val="0.1447860962566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00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6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r>
              <a:rPr altLang="en-US" sz="126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图</a:t>
            </a:r>
            <a:r>
              <a:rPr lang="en-US" altLang="zh-CN" sz="126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6  2018-2022</a:t>
            </a:r>
            <a:r>
              <a:rPr altLang="en-US" sz="1260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</a:rPr>
              <a:t>年全州三次产业投资占固定资产投资比重</a:t>
            </a:r>
            <a:endParaRPr altLang="en-US" sz="1260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828757225433526"/>
          <c:y val="0.130889092575619"/>
          <c:w val="0.890631021194605"/>
          <c:h val="0.728652612282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[公报图表.xlsx]图2!$A$9</c:f>
              <c:strCache>
                <c:ptCount val="1"/>
                <c:pt idx="0">
                  <c:v>第一产业</c:v>
                </c:pt>
              </c:strCache>
            </c:strRef>
          </c:tx>
          <c:spPr>
            <a:solidFill>
              <a:srgbClr val="94D15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[公报图表.xlsx]图2!$B$8:$F$8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[公报图表.xlsx]图2!$B$9:$F$9</c:f>
              <c:numCache>
                <c:formatCode>0.0_ </c:formatCode>
                <c:ptCount val="5"/>
                <c:pt idx="0">
                  <c:v>3.63643261874222</c:v>
                </c:pt>
                <c:pt idx="1">
                  <c:v>1.78339497242633</c:v>
                </c:pt>
                <c:pt idx="2">
                  <c:v>2.51672414418195</c:v>
                </c:pt>
                <c:pt idx="3">
                  <c:v>4.12900796329848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[公报图表.xlsx]图2!$A$10</c:f>
              <c:strCache>
                <c:ptCount val="1"/>
                <c:pt idx="0">
                  <c:v>第二产业</c:v>
                </c:pt>
              </c:strCache>
            </c:strRef>
          </c:tx>
          <c:spPr>
            <a:solidFill>
              <a:srgbClr val="99CD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[公报图表.xlsx]图2!$B$8:$F$8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[公报图表.xlsx]图2!$B$10:$F$10</c:f>
              <c:numCache>
                <c:formatCode>0.0_ </c:formatCode>
                <c:ptCount val="5"/>
                <c:pt idx="0">
                  <c:v>9.72300656513256</c:v>
                </c:pt>
                <c:pt idx="1">
                  <c:v>22.3760370643702</c:v>
                </c:pt>
                <c:pt idx="2">
                  <c:v>7.25622959951044</c:v>
                </c:pt>
                <c:pt idx="3">
                  <c:v>8.06628832536248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[公报图表.xlsx]图2!$A$11</c:f>
              <c:strCache>
                <c:ptCount val="1"/>
                <c:pt idx="0">
                  <c:v>第三产业</c:v>
                </c:pt>
              </c:strCache>
            </c:strRef>
          </c:tx>
          <c:spPr>
            <a:solidFill>
              <a:srgbClr val="FF7D7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[公报图表.xlsx]图2!$B$8:$F$8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[公报图表.xlsx]图2!$B$11:$F$11</c:f>
              <c:numCache>
                <c:formatCode>0.0_ </c:formatCode>
                <c:ptCount val="5"/>
                <c:pt idx="0">
                  <c:v>86.6405608161252</c:v>
                </c:pt>
                <c:pt idx="1">
                  <c:v>75.8405679632035</c:v>
                </c:pt>
                <c:pt idx="2">
                  <c:v>90.2270462563076</c:v>
                </c:pt>
                <c:pt idx="3">
                  <c:v>87.804703711339</c:v>
                </c:pt>
                <c:pt idx="4">
                  <c:v>88.2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21993996"/>
        <c:axId val="626182326"/>
      </c:barChart>
      <c:catAx>
        <c:axId val="42199399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5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50"/>
                  <a:t>%</a:t>
                </a:r>
                <a:endParaRPr lang="en-US" altLang="zh-CN" sz="1050"/>
              </a:p>
            </c:rich>
          </c:tx>
          <c:layout>
            <c:manualLayout>
              <c:xMode val="edge"/>
              <c:yMode val="edge"/>
              <c:x val="0.0221529163671121"/>
              <c:y val="0.0384615384615385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626182326"/>
        <c:crosses val="autoZero"/>
        <c:auto val="1"/>
        <c:lblAlgn val="ctr"/>
        <c:lblOffset val="100"/>
        <c:noMultiLvlLbl val="0"/>
      </c:catAx>
      <c:valAx>
        <c:axId val="626182326"/>
        <c:scaling>
          <c:orientation val="minMax"/>
          <c:max val="100"/>
        </c:scaling>
        <c:delete val="0"/>
        <c:axPos val="l"/>
        <c:numFmt formatCode="General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42199399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5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280011669677418"/>
          <c:y val="0.908586854292331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50" b="0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50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0.944474220173652</cdr:x>
      <cdr:y>0.0476190476190476</cdr:y>
    </cdr:from>
    <cdr:to>
      <cdr:x>0.997320184371315</cdr:x>
      <cdr:y>0.10995670995671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 flipH="1">
          <a:off x="5594985" y="174625"/>
          <a:ext cx="313055" cy="228600"/>
        </a:xfrm>
        <a:prstGeom xmlns:a="http://schemas.openxmlformats.org/drawingml/2006/main" prst="rect">
          <a:avLst/>
        </a:prstGeom>
        <a:ln>
          <a:solidFill>
            <a:schemeClr val="bg1"/>
          </a:solidFill>
        </a:ln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200"/>
            <a:t>%</a:t>
          </a:r>
          <a:endParaRPr lang="en-US" altLang="zh-CN" sz="12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0.86977648202138</cdr:x>
      <cdr:y>0.0511780422238314</cdr:y>
    </cdr:from>
    <cdr:to>
      <cdr:x>1</cdr:x>
      <cdr:y>0.12637857698319</cdr:y>
    </cdr:to>
    <cdr:sp>
      <cdr:nvSpPr>
        <cdr:cNvPr id="2" name="矩形 1"/>
        <cdr:cNvSpPr/>
      </cdr:nvSpPr>
      <cdr:spPr xmlns:a="http://schemas.openxmlformats.org/drawingml/2006/main">
        <a:xfrm xmlns:a="http://schemas.openxmlformats.org/drawingml/2006/main">
          <a:off x="5683250" y="204705"/>
          <a:ext cx="850900" cy="300792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endParaRPr lang="zh-CN" altLang="en-US"/>
        </a:p>
      </cdr:txBody>
    </cdr:sp>
  </cdr:relSizeAnchor>
  <cdr:relSizeAnchor xmlns:cdr="http://schemas.openxmlformats.org/drawingml/2006/chartDrawing">
    <cdr:from>
      <cdr:x>0.935860058309038</cdr:x>
      <cdr:y>0.0285759644387998</cdr:y>
    </cdr:from>
    <cdr:to>
      <cdr:x>0.997084548104956</cdr:x>
      <cdr:y>0.0901730433402127</cdr:y>
    </cdr:to>
    <cdr:sp>
      <cdr:nvSpPr>
        <cdr:cNvPr id="3" name="矩形 2"/>
        <cdr:cNvSpPr/>
      </cdr:nvSpPr>
      <cdr:spPr xmlns:a="http://schemas.openxmlformats.org/drawingml/2006/main">
        <a:xfrm xmlns:a="http://schemas.openxmlformats.org/drawingml/2006/main">
          <a:off x="6115050" y="114300"/>
          <a:ext cx="400050" cy="24638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horzOverflow="clip" vert="horz" wrap="square" lIns="45720" tIns="45720" rIns="45720" bIns="45720" rtlCol="0" anchor="t" anchorCtr="0">
          <a:normAutofit/>
        </a:bodyPr>
        <a:p>
          <a:r>
            <a:rPr lang="en-US" altLang="zh-CN" sz="1200"/>
            <a:t>%</a:t>
          </a:r>
          <a:endParaRPr lang="en-US" altLang="zh-CN" sz="1200"/>
        </a:p>
        <a:p>
          <a:endParaRPr lang="en-US" altLang="zh-CN" sz="12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5914</Words>
  <Characters>7885</Characters>
  <Lines>0</Lines>
  <Paragraphs>0</Paragraphs>
  <TotalTime>283</TotalTime>
  <ScaleCrop>false</ScaleCrop>
  <LinksUpToDate>false</LinksUpToDate>
  <CharactersWithSpaces>7906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2023-03-20T02:48:00Z</dcterms:created>
  <dc:creator>mbp</dc:creator>
  <cp:lastModifiedBy>Administrator</cp:lastModifiedBy>
  <cp:lastPrinted>2023-04-03T07:04:00Z</cp:lastPrinted>
  <dcterms:modified xsi:type="dcterms:W3CDTF">2023-04-12T06:33:20Z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6C027F5C60224350BE5BDD3DA0F2F669</vt:lpwstr>
  </property>
</Properties>
</file>